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i w:val="0"/>
          <w:smallCaps w:val="0"/>
          <w:strike w:val="0"/>
          <w:sz w:val="20"/>
          <w:szCs w:val="20"/>
          <w:u w:val="none"/>
          <w:shd w:fill="auto" w:val="clear"/>
          <w:vertAlign w:val="baseline"/>
        </w:rPr>
      </w:pPr>
      <w:r w:rsidDel="00000000" w:rsidR="00000000" w:rsidRPr="00000000">
        <w:rPr>
          <w:rtl w:val="0"/>
        </w:rPr>
      </w:r>
    </w:p>
    <w:tbl>
      <w:tblPr>
        <w:tblStyle w:val="Table1"/>
        <w:tblW w:w="964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0"/>
        <w:tblGridChange w:id="0">
          <w:tblGrid>
            <w:gridCol w:w="9640"/>
          </w:tblGrid>
        </w:tblGridChange>
      </w:tblGrid>
      <w:tr>
        <w:trPr>
          <w:cantSplit w:val="0"/>
          <w:tblHeader w:val="0"/>
        </w:trPr>
        <w:tc>
          <w:tcPr>
            <w:shd w:fill="00d2c5" w:val="clear"/>
          </w:tcPr>
          <w:p w:rsidR="00000000" w:rsidDel="00000000" w:rsidP="00000000" w:rsidRDefault="00000000" w:rsidRPr="00000000" w14:paraId="00000002">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i w:val="0"/>
                <w:smallCaps w:val="0"/>
                <w:strike w:val="0"/>
                <w:sz w:val="20"/>
                <w:szCs w:val="20"/>
                <w:shd w:fill="auto" w:val="clear"/>
                <w:vertAlign w:val="baseline"/>
              </w:rPr>
            </w:pPr>
            <w:r w:rsidDel="00000000" w:rsidR="00000000" w:rsidRPr="00000000">
              <w:rPr>
                <w:rFonts w:ascii="Arial" w:cs="Arial" w:eastAsia="Arial" w:hAnsi="Arial"/>
                <w:b w:val="1"/>
                <w:i w:val="0"/>
                <w:smallCaps w:val="0"/>
                <w:strike w:val="0"/>
                <w:sz w:val="20"/>
                <w:szCs w:val="20"/>
                <w:u w:val="none"/>
                <w:shd w:fill="auto" w:val="clear"/>
                <w:vertAlign w:val="baseline"/>
                <w:rtl w:val="0"/>
              </w:rPr>
              <w:t xml:space="preserve">FACULTAD</w:t>
            </w:r>
            <w:r w:rsidDel="00000000" w:rsidR="00000000" w:rsidRPr="00000000">
              <w:rPr>
                <w:rtl w:val="0"/>
              </w:rPr>
            </w:r>
          </w:p>
        </w:tc>
      </w:tr>
      <w:tr>
        <w:trPr>
          <w:cantSplit w:val="0"/>
          <w:tblHeader w:val="0"/>
        </w:trPr>
        <w:tc>
          <w:tcPr/>
          <w:p w:rsidR="00000000" w:rsidDel="00000000" w:rsidP="00000000" w:rsidRDefault="00000000" w:rsidRPr="00000000" w14:paraId="0000000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Ingeniería </w:t>
            </w:r>
          </w:p>
          <w:p w:rsidR="00000000" w:rsidDel="00000000" w:rsidP="00000000" w:rsidRDefault="00000000" w:rsidRPr="00000000" w14:paraId="00000004">
            <w:pPr>
              <w:jc w:val="both"/>
              <w:rPr>
                <w:rFonts w:ascii="Arial" w:cs="Arial" w:eastAsia="Arial" w:hAnsi="Arial"/>
                <w:sz w:val="20"/>
                <w:szCs w:val="20"/>
              </w:rPr>
            </w:pPr>
            <w:r w:rsidDel="00000000" w:rsidR="00000000" w:rsidRPr="00000000">
              <w:rPr>
                <w:rtl w:val="0"/>
              </w:rPr>
            </w:r>
          </w:p>
        </w:tc>
      </w:tr>
      <w:tr>
        <w:trPr>
          <w:cantSplit w:val="0"/>
          <w:trHeight w:val="393.18725585937494" w:hRule="atLeast"/>
          <w:tblHeader w:val="0"/>
        </w:trPr>
        <w:tc>
          <w:tcPr>
            <w:shd w:fill="00d2c5" w:val="clear"/>
          </w:tcPr>
          <w:p w:rsidR="00000000" w:rsidDel="00000000" w:rsidP="00000000" w:rsidRDefault="00000000" w:rsidRPr="00000000" w14:paraId="00000005">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i w:val="0"/>
                <w:smallCaps w:val="0"/>
                <w:strike w:val="0"/>
                <w:sz w:val="20"/>
                <w:szCs w:val="20"/>
                <w:shd w:fill="auto" w:val="clear"/>
                <w:vertAlign w:val="baseline"/>
              </w:rPr>
            </w:pPr>
            <w:r w:rsidDel="00000000" w:rsidR="00000000" w:rsidRPr="00000000">
              <w:rPr>
                <w:rFonts w:ascii="Arial" w:cs="Arial" w:eastAsia="Arial" w:hAnsi="Arial"/>
                <w:b w:val="1"/>
                <w:i w:val="0"/>
                <w:smallCaps w:val="0"/>
                <w:strike w:val="0"/>
                <w:sz w:val="20"/>
                <w:szCs w:val="20"/>
                <w:u w:val="none"/>
                <w:shd w:fill="auto" w:val="clear"/>
                <w:vertAlign w:val="baseline"/>
                <w:rtl w:val="0"/>
              </w:rPr>
              <w:t xml:space="preserve">PROGRAMA ACADÉMICO</w:t>
            </w:r>
            <w:r w:rsidDel="00000000" w:rsidR="00000000" w:rsidRPr="00000000">
              <w:rPr>
                <w:rtl w:val="0"/>
              </w:rPr>
            </w:r>
          </w:p>
        </w:tc>
      </w:tr>
      <w:tr>
        <w:trPr>
          <w:cantSplit w:val="0"/>
          <w:tblHeader w:val="0"/>
        </w:trPr>
        <w:tc>
          <w:tcPr/>
          <w:p w:rsidR="00000000" w:rsidDel="00000000" w:rsidP="00000000" w:rsidRDefault="00000000" w:rsidRPr="00000000" w14:paraId="0000000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Ingeniería Industrial</w:t>
            </w:r>
          </w:p>
        </w:tc>
      </w:tr>
      <w:tr>
        <w:trPr>
          <w:cantSplit w:val="0"/>
          <w:tblHeader w:val="0"/>
        </w:trPr>
        <w:tc>
          <w:tcPr>
            <w:shd w:fill="00d2c5" w:val="clear"/>
          </w:tcPr>
          <w:p w:rsidR="00000000" w:rsidDel="00000000" w:rsidP="00000000" w:rsidRDefault="00000000" w:rsidRPr="00000000" w14:paraId="00000007">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i w:val="0"/>
                <w:smallCaps w:val="0"/>
                <w:strike w:val="0"/>
                <w:sz w:val="20"/>
                <w:szCs w:val="20"/>
                <w:shd w:fill="auto" w:val="clear"/>
                <w:vertAlign w:val="baseline"/>
              </w:rPr>
            </w:pPr>
            <w:r w:rsidDel="00000000" w:rsidR="00000000" w:rsidRPr="00000000">
              <w:rPr>
                <w:rFonts w:ascii="Arial" w:cs="Arial" w:eastAsia="Arial" w:hAnsi="Arial"/>
                <w:b w:val="1"/>
                <w:i w:val="0"/>
                <w:smallCaps w:val="0"/>
                <w:strike w:val="0"/>
                <w:sz w:val="20"/>
                <w:szCs w:val="20"/>
                <w:u w:val="none"/>
                <w:shd w:fill="auto" w:val="clear"/>
                <w:vertAlign w:val="baseline"/>
                <w:rtl w:val="0"/>
              </w:rPr>
              <w:t xml:space="preserve">NOMBRE DE LA ASIGNATURA</w:t>
            </w:r>
            <w:r w:rsidDel="00000000" w:rsidR="00000000" w:rsidRPr="00000000">
              <w:rPr>
                <w:rtl w:val="0"/>
              </w:rPr>
            </w:r>
          </w:p>
        </w:tc>
      </w:tr>
      <w:tr>
        <w:trPr>
          <w:cantSplit w:val="0"/>
          <w:tblHeader w:val="0"/>
        </w:trPr>
        <w:tc>
          <w:tcPr/>
          <w:p w:rsidR="00000000" w:rsidDel="00000000" w:rsidP="00000000" w:rsidRDefault="00000000" w:rsidRPr="00000000" w14:paraId="0000000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Termodinámica</w:t>
            </w:r>
          </w:p>
        </w:tc>
      </w:tr>
      <w:tr>
        <w:trPr>
          <w:cantSplit w:val="0"/>
          <w:tblHeader w:val="0"/>
        </w:trPr>
        <w:tc>
          <w:tcPr>
            <w:shd w:fill="00d2c5" w:val="clear"/>
          </w:tcPr>
          <w:p w:rsidR="00000000" w:rsidDel="00000000" w:rsidP="00000000" w:rsidRDefault="00000000" w:rsidRPr="00000000" w14:paraId="00000009">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i w:val="0"/>
                <w:smallCaps w:val="0"/>
                <w:strike w:val="0"/>
                <w:sz w:val="20"/>
                <w:szCs w:val="20"/>
                <w:shd w:fill="auto" w:val="clear"/>
                <w:vertAlign w:val="baseline"/>
              </w:rPr>
            </w:pPr>
            <w:r w:rsidDel="00000000" w:rsidR="00000000" w:rsidRPr="00000000">
              <w:rPr>
                <w:rFonts w:ascii="Arial" w:cs="Arial" w:eastAsia="Arial" w:hAnsi="Arial"/>
                <w:b w:val="1"/>
                <w:i w:val="0"/>
                <w:smallCaps w:val="0"/>
                <w:strike w:val="0"/>
                <w:sz w:val="20"/>
                <w:szCs w:val="20"/>
                <w:u w:val="none"/>
                <w:shd w:fill="auto" w:val="clear"/>
                <w:vertAlign w:val="baseline"/>
                <w:rtl w:val="0"/>
              </w:rPr>
              <w:t xml:space="preserve">CÓDIGO</w:t>
            </w:r>
            <w:r w:rsidDel="00000000" w:rsidR="00000000" w:rsidRPr="00000000">
              <w:rPr>
                <w:rtl w:val="0"/>
              </w:rPr>
            </w:r>
          </w:p>
        </w:tc>
      </w:tr>
      <w:tr>
        <w:trPr>
          <w:cantSplit w:val="0"/>
          <w:tblHeader w:val="0"/>
        </w:trPr>
        <w:tc>
          <w:tcPr/>
          <w:p w:rsidR="00000000" w:rsidDel="00000000" w:rsidP="00000000" w:rsidRDefault="00000000" w:rsidRPr="00000000" w14:paraId="0000000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83037</w:t>
            </w:r>
          </w:p>
        </w:tc>
      </w:tr>
      <w:tr>
        <w:trPr>
          <w:cantSplit w:val="0"/>
          <w:tblHeader w:val="0"/>
        </w:trPr>
        <w:tc>
          <w:tcPr>
            <w:shd w:fill="00d2c5" w:val="clear"/>
          </w:tcPr>
          <w:p w:rsidR="00000000" w:rsidDel="00000000" w:rsidP="00000000" w:rsidRDefault="00000000" w:rsidRPr="00000000" w14:paraId="0000000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i w:val="0"/>
                <w:smallCaps w:val="0"/>
                <w:strike w:val="0"/>
                <w:sz w:val="20"/>
                <w:szCs w:val="20"/>
                <w:shd w:fill="auto" w:val="clear"/>
                <w:vertAlign w:val="baseline"/>
              </w:rPr>
            </w:pPr>
            <w:r w:rsidDel="00000000" w:rsidR="00000000" w:rsidRPr="00000000">
              <w:rPr>
                <w:rFonts w:ascii="Arial" w:cs="Arial" w:eastAsia="Arial" w:hAnsi="Arial"/>
                <w:b w:val="1"/>
                <w:i w:val="0"/>
                <w:smallCaps w:val="0"/>
                <w:strike w:val="0"/>
                <w:sz w:val="20"/>
                <w:szCs w:val="20"/>
                <w:u w:val="none"/>
                <w:shd w:fill="auto" w:val="clear"/>
                <w:vertAlign w:val="baseline"/>
                <w:rtl w:val="0"/>
              </w:rPr>
              <w:t xml:space="preserve">SEMESTRE</w:t>
            </w:r>
            <w:r w:rsidDel="00000000" w:rsidR="00000000" w:rsidRPr="00000000">
              <w:rPr>
                <w:rtl w:val="0"/>
              </w:rPr>
            </w:r>
          </w:p>
        </w:tc>
      </w:tr>
      <w:tr>
        <w:trPr>
          <w:cantSplit w:val="0"/>
          <w:tblHeader w:val="0"/>
        </w:trPr>
        <w:tc>
          <w:tcPr/>
          <w:p w:rsidR="00000000" w:rsidDel="00000000" w:rsidP="00000000" w:rsidRDefault="00000000" w:rsidRPr="00000000" w14:paraId="0000000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II</w:t>
            </w:r>
          </w:p>
        </w:tc>
      </w:tr>
      <w:tr>
        <w:trPr>
          <w:cantSplit w:val="0"/>
          <w:tblHeader w:val="0"/>
        </w:trPr>
        <w:tc>
          <w:tcPr>
            <w:shd w:fill="00d2c5" w:val="clear"/>
          </w:tcPr>
          <w:p w:rsidR="00000000" w:rsidDel="00000000" w:rsidP="00000000" w:rsidRDefault="00000000" w:rsidRPr="00000000" w14:paraId="0000000D">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i w:val="0"/>
                <w:smallCaps w:val="0"/>
                <w:strike w:val="0"/>
                <w:sz w:val="20"/>
                <w:szCs w:val="20"/>
                <w:shd w:fill="auto" w:val="clear"/>
                <w:vertAlign w:val="baseline"/>
              </w:rPr>
            </w:pPr>
            <w:r w:rsidDel="00000000" w:rsidR="00000000" w:rsidRPr="00000000">
              <w:rPr>
                <w:rFonts w:ascii="Arial" w:cs="Arial" w:eastAsia="Arial" w:hAnsi="Arial"/>
                <w:b w:val="1"/>
                <w:i w:val="0"/>
                <w:smallCaps w:val="0"/>
                <w:strike w:val="0"/>
                <w:sz w:val="20"/>
                <w:szCs w:val="20"/>
                <w:u w:val="none"/>
                <w:shd w:fill="auto" w:val="clear"/>
                <w:vertAlign w:val="baseline"/>
                <w:rtl w:val="0"/>
              </w:rPr>
              <w:t xml:space="preserve">PROFESOR</w:t>
            </w:r>
            <w:r w:rsidDel="00000000" w:rsidR="00000000" w:rsidRPr="00000000">
              <w:rPr>
                <w:rtl w:val="0"/>
              </w:rPr>
            </w:r>
          </w:p>
        </w:tc>
      </w:tr>
      <w:tr>
        <w:trPr>
          <w:cantSplit w:val="0"/>
          <w:trHeight w:val="246" w:hRule="atLeast"/>
          <w:tblHeader w:val="0"/>
        </w:trPr>
        <w:tc>
          <w:tcPr/>
          <w:p w:rsidR="00000000" w:rsidDel="00000000" w:rsidP="00000000" w:rsidRDefault="00000000" w:rsidRPr="00000000" w14:paraId="0000000E">
            <w:pPr>
              <w:jc w:val="both"/>
              <w:rPr>
                <w:rFonts w:ascii="Arial" w:cs="Arial" w:eastAsia="Arial" w:hAnsi="Arial"/>
                <w:sz w:val="20"/>
                <w:szCs w:val="20"/>
              </w:rPr>
            </w:pPr>
            <w:r w:rsidDel="00000000" w:rsidR="00000000" w:rsidRPr="00000000">
              <w:rPr>
                <w:rtl w:val="0"/>
              </w:rPr>
            </w:r>
          </w:p>
        </w:tc>
      </w:tr>
      <w:tr>
        <w:trPr>
          <w:cantSplit w:val="0"/>
          <w:tblHeader w:val="0"/>
        </w:trPr>
        <w:tc>
          <w:tcPr>
            <w:shd w:fill="00d2c5" w:val="clear"/>
          </w:tcPr>
          <w:p w:rsidR="00000000" w:rsidDel="00000000" w:rsidP="00000000" w:rsidRDefault="00000000" w:rsidRPr="00000000" w14:paraId="0000000F">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i w:val="0"/>
                <w:smallCaps w:val="0"/>
                <w:strike w:val="0"/>
                <w:sz w:val="20"/>
                <w:szCs w:val="20"/>
                <w:shd w:fill="auto" w:val="clear"/>
                <w:vertAlign w:val="baseline"/>
              </w:rPr>
            </w:pPr>
            <w:r w:rsidDel="00000000" w:rsidR="00000000" w:rsidRPr="00000000">
              <w:rPr>
                <w:rFonts w:ascii="Arial" w:cs="Arial" w:eastAsia="Arial" w:hAnsi="Arial"/>
                <w:b w:val="1"/>
                <w:i w:val="0"/>
                <w:smallCaps w:val="0"/>
                <w:strike w:val="0"/>
                <w:sz w:val="20"/>
                <w:szCs w:val="20"/>
                <w:u w:val="none"/>
                <w:shd w:fill="auto" w:val="clear"/>
                <w:vertAlign w:val="baseline"/>
                <w:rtl w:val="0"/>
              </w:rPr>
              <w:t xml:space="preserve">TÍTULO DE LA PRÁCTICA</w:t>
            </w:r>
            <w:r w:rsidDel="00000000" w:rsidR="00000000" w:rsidRPr="00000000">
              <w:rPr>
                <w:rtl w:val="0"/>
              </w:rPr>
            </w:r>
          </w:p>
        </w:tc>
      </w:tr>
      <w:tr>
        <w:trPr>
          <w:cantSplit w:val="0"/>
          <w:tblHeader w:val="0"/>
        </w:trPr>
        <w:tc>
          <w:tcPr/>
          <w:p w:rsidR="00000000" w:rsidDel="00000000" w:rsidP="00000000" w:rsidRDefault="00000000" w:rsidRPr="00000000" w14:paraId="0000001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FENÓMENOS TÉRMICOS FUNDAMENTALES</w:t>
            </w:r>
          </w:p>
        </w:tc>
      </w:tr>
      <w:tr>
        <w:trPr>
          <w:cantSplit w:val="0"/>
          <w:tblHeader w:val="0"/>
        </w:trPr>
        <w:tc>
          <w:tcPr>
            <w:shd w:fill="00d2c5" w:val="clear"/>
          </w:tcPr>
          <w:p w:rsidR="00000000" w:rsidDel="00000000" w:rsidP="00000000" w:rsidRDefault="00000000" w:rsidRPr="00000000" w14:paraId="00000011">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i w:val="0"/>
                <w:smallCaps w:val="0"/>
                <w:strike w:val="0"/>
                <w:sz w:val="20"/>
                <w:szCs w:val="20"/>
                <w:shd w:fill="auto" w:val="clear"/>
                <w:vertAlign w:val="baseline"/>
              </w:rPr>
            </w:pPr>
            <w:r w:rsidDel="00000000" w:rsidR="00000000" w:rsidRPr="00000000">
              <w:rPr>
                <w:rFonts w:ascii="Arial" w:cs="Arial" w:eastAsia="Arial" w:hAnsi="Arial"/>
                <w:b w:val="1"/>
                <w:i w:val="0"/>
                <w:smallCaps w:val="0"/>
                <w:strike w:val="0"/>
                <w:sz w:val="20"/>
                <w:szCs w:val="20"/>
                <w:u w:val="none"/>
                <w:shd w:fill="auto" w:val="clear"/>
                <w:vertAlign w:val="baseline"/>
                <w:rtl w:val="0"/>
              </w:rPr>
              <w:t xml:space="preserve">INTRODUCCIÓN</w:t>
            </w:r>
            <w:r w:rsidDel="00000000" w:rsidR="00000000" w:rsidRPr="00000000">
              <w:rPr>
                <w:rtl w:val="0"/>
              </w:rPr>
            </w:r>
          </w:p>
        </w:tc>
      </w:tr>
      <w:tr>
        <w:trPr>
          <w:cantSplit w:val="0"/>
          <w:tblHeader w:val="0"/>
        </w:trPr>
        <w:tc>
          <w:tcPr/>
          <w:p w:rsidR="00000000" w:rsidDel="00000000" w:rsidP="00000000" w:rsidRDefault="00000000" w:rsidRPr="00000000" w14:paraId="00000012">
            <w:pPr>
              <w:spacing w:after="240" w:befor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 termodinámica, como disciplina fundamental de la física, aborda la relación entre el calor y otras formas de energía. Fenómenos macroscópicos como la dilatación térmica y la transferencia de calor son manifestaciones directas de los principios termodinámicos subyacentes. La dilatación térmica, el cambio en las dimensiones de un material con la temperatura, se observa en los tres estados de la materia: gases, líquidos y sólidos (Serway et al., 2015). La transferencia de calor, el flujo de energía térmica debido a una diferencia de temperatura, ocurre a través de diversos mecanismos y es fundamental en numerosos procesos naturales y de ingeniería (Halliday et al., 2013).</w:t>
            </w:r>
          </w:p>
          <w:p w:rsidR="00000000" w:rsidDel="00000000" w:rsidP="00000000" w:rsidRDefault="00000000" w:rsidRPr="00000000" w14:paraId="00000013">
            <w:pPr>
              <w:spacing w:after="240" w:befor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Esta guía presenta tres experimentos cualitativos diseñados para demostrar los principios de la dilatación térmica en gases, líquidos y sólidos, y la transferencia de calor utilizando un intercambiador simple. El enfoque de estos experimentos es la observación cualitativa de los fenómenos, proporcionando una comprensión intuitiva de estos conceptos termodinámicos fundamentales.</w:t>
            </w:r>
          </w:p>
          <w:p w:rsidR="00000000" w:rsidDel="00000000" w:rsidP="00000000" w:rsidRDefault="00000000" w:rsidRPr="00000000" w14:paraId="00000014">
            <w:pPr>
              <w:spacing w:after="240" w:befor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Objetivos</w:t>
            </w:r>
          </w:p>
          <w:p w:rsidR="00000000" w:rsidDel="00000000" w:rsidP="00000000" w:rsidRDefault="00000000" w:rsidRPr="00000000" w14:paraId="00000015">
            <w:pPr>
              <w:spacing w:after="240" w:befor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Al finalizar esta práctica de laboratorio, el estudiante será capaz de:</w:t>
            </w:r>
          </w:p>
          <w:p w:rsidR="00000000" w:rsidDel="00000000" w:rsidP="00000000" w:rsidRDefault="00000000" w:rsidRPr="00000000" w14:paraId="00000016">
            <w:pPr>
              <w:numPr>
                <w:ilvl w:val="0"/>
                <w:numId w:val="7"/>
              </w:numPr>
              <w:spacing w:after="0" w:afterAutospacing="0" w:befor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Observar cualitativamente la dilatación térmica en gases, líquidos y sólidos como resultado de un cambio de temperatura.</w:t>
            </w:r>
          </w:p>
          <w:p w:rsidR="00000000" w:rsidDel="00000000" w:rsidP="00000000" w:rsidRDefault="00000000" w:rsidRPr="00000000" w14:paraId="00000017">
            <w:pPr>
              <w:numPr>
                <w:ilvl w:val="0"/>
                <w:numId w:val="7"/>
              </w:numPr>
              <w:spacing w:after="240" w:before="0" w:beforeAutospacing="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Comprender el principio básico de funcionamiento de un intercambiador de calor simple a través de la observación de los cambios de temperatura.</w:t>
            </w:r>
          </w:p>
          <w:p w:rsidR="00000000" w:rsidDel="00000000" w:rsidP="00000000" w:rsidRDefault="00000000" w:rsidRPr="00000000" w14:paraId="00000018">
            <w:pPr>
              <w:spacing w:after="240" w:befor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Fundamentos Teóricos</w:t>
            </w:r>
          </w:p>
          <w:p w:rsidR="00000000" w:rsidDel="00000000" w:rsidP="00000000" w:rsidRDefault="00000000" w:rsidRPr="00000000" w14:paraId="00000019">
            <w:pPr>
              <w:numPr>
                <w:ilvl w:val="0"/>
                <w:numId w:val="1"/>
              </w:numPr>
              <w:spacing w:after="0" w:afterAutospacing="0" w:before="240" w:lineRule="auto"/>
              <w:ind w:left="72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Dilatación Térmica:</w:t>
            </w:r>
            <w:r w:rsidDel="00000000" w:rsidR="00000000" w:rsidRPr="00000000">
              <w:rPr>
                <w:rFonts w:ascii="Arial" w:cs="Arial" w:eastAsia="Arial" w:hAnsi="Arial"/>
                <w:sz w:val="20"/>
                <w:szCs w:val="20"/>
                <w:rtl w:val="0"/>
              </w:rPr>
              <w:t xml:space="preserve"> A nivel molecular, un aumento de temperatura incrementa la energía cinética promedio de las partículas (átomos o moléculas) que componen la sustancia. En gases, esto se manifiesta en un aumento de la velocidad y la frecuencia de las colisiones, lo que a presión constante resulta en un aumento del volumen. En líquidos y sólidos, el aumento de la energía vibracional de las partículas incrementa la distancia promedio entre ellas, lo que se traduce en una expansión macroscópica. Los coeficientes de dilatación son propiedades intrínsecas de cada material y cuantifican la magnitud de esta expansión por unidad de cambio de temperatura (Halliday et al., 2013).</w:t>
            </w:r>
          </w:p>
          <w:p w:rsidR="00000000" w:rsidDel="00000000" w:rsidP="00000000" w:rsidRDefault="00000000" w:rsidRPr="00000000" w14:paraId="0000001A">
            <w:pPr>
              <w:numPr>
                <w:ilvl w:val="0"/>
                <w:numId w:val="1"/>
              </w:numPr>
              <w:spacing w:after="240" w:before="0" w:beforeAutospacing="0" w:lineRule="auto"/>
              <w:ind w:left="72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Transferencia de Calor en Intercambiadores:</w:t>
            </w:r>
            <w:r w:rsidDel="00000000" w:rsidR="00000000" w:rsidRPr="00000000">
              <w:rPr>
                <w:rFonts w:ascii="Arial" w:cs="Arial" w:eastAsia="Arial" w:hAnsi="Arial"/>
                <w:sz w:val="20"/>
                <w:szCs w:val="20"/>
                <w:rtl w:val="0"/>
              </w:rPr>
              <w:t xml:space="preserve"> Un intercambiador de calor facilita la transferencia de energía térmica de un fluido a otro debido a una diferencia de temperatura entre ellos. En un intercambiador simple, los fluidos fluyen a través de conductos separados, y la transferencia de calor ocurre a través de las paredes de estos conductos. La eficiencia de la transferencia de calor depende de factores como el área de contacto, la diferencia de temperatura entre los fluidos y las propiedades térmicas de los fluidos y las paredes del conducto (Cengel &amp; Ghajar, 2007).</w:t>
            </w:r>
          </w:p>
          <w:p w:rsidR="00000000" w:rsidDel="00000000" w:rsidP="00000000" w:rsidRDefault="00000000" w:rsidRPr="00000000" w14:paraId="0000001B">
            <w:pPr>
              <w:jc w:val="both"/>
              <w:rPr>
                <w:rFonts w:ascii="Arial" w:cs="Arial" w:eastAsia="Arial" w:hAnsi="Arial"/>
                <w:sz w:val="20"/>
                <w:szCs w:val="20"/>
              </w:rPr>
            </w:pPr>
            <w:r w:rsidDel="00000000" w:rsidR="00000000" w:rsidRPr="00000000">
              <w:rPr>
                <w:rtl w:val="0"/>
              </w:rPr>
            </w:r>
          </w:p>
        </w:tc>
      </w:tr>
      <w:tr>
        <w:trPr>
          <w:cantSplit w:val="0"/>
          <w:tblHeader w:val="0"/>
        </w:trPr>
        <w:tc>
          <w:tcPr>
            <w:shd w:fill="00d2c5" w:val="clear"/>
          </w:tcPr>
          <w:p w:rsidR="00000000" w:rsidDel="00000000" w:rsidP="00000000" w:rsidRDefault="00000000" w:rsidRPr="00000000" w14:paraId="0000001C">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i w:val="0"/>
                <w:smallCaps w:val="0"/>
                <w:strike w:val="0"/>
                <w:sz w:val="20"/>
                <w:szCs w:val="20"/>
                <w:shd w:fill="auto" w:val="clear"/>
                <w:vertAlign w:val="baseline"/>
              </w:rPr>
            </w:pPr>
            <w:r w:rsidDel="00000000" w:rsidR="00000000" w:rsidRPr="00000000">
              <w:rPr>
                <w:rFonts w:ascii="Arial" w:cs="Arial" w:eastAsia="Arial" w:hAnsi="Arial"/>
                <w:b w:val="1"/>
                <w:i w:val="0"/>
                <w:smallCaps w:val="0"/>
                <w:strike w:val="0"/>
                <w:sz w:val="20"/>
                <w:szCs w:val="20"/>
                <w:u w:val="none"/>
                <w:shd w:fill="auto" w:val="clear"/>
                <w:vertAlign w:val="baseline"/>
                <w:rtl w:val="0"/>
              </w:rPr>
              <w:t xml:space="preserve">CRITERIOS DE EVALUACIÓN </w:t>
            </w:r>
            <w:r w:rsidDel="00000000" w:rsidR="00000000" w:rsidRPr="00000000">
              <w:rPr>
                <w:rtl w:val="0"/>
              </w:rPr>
            </w:r>
          </w:p>
        </w:tc>
      </w:tr>
      <w:tr>
        <w:trPr>
          <w:cantSplit w:val="0"/>
          <w:tblHeader w:val="0"/>
        </w:trPr>
        <w:tc>
          <w:tcPr/>
          <w:p w:rsidR="00000000" w:rsidDel="00000000" w:rsidP="00000000" w:rsidRDefault="00000000" w:rsidRPr="00000000" w14:paraId="0000001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El informe de laboratorio será evaluado con base en los siguientes criterios, diseñados para medir la comprensión conceptual, la rigurosidad en la observación y la capacidad de análisis y comunicación científica del estudiante.</w:t>
            </w:r>
          </w:p>
          <w:p w:rsidR="00000000" w:rsidDel="00000000" w:rsidP="00000000" w:rsidRDefault="00000000" w:rsidRPr="00000000" w14:paraId="0000001E">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F">
            <w:pPr>
              <w:jc w:val="both"/>
              <w:rPr>
                <w:rFonts w:ascii="Arial" w:cs="Arial" w:eastAsia="Arial" w:hAnsi="Arial"/>
                <w:sz w:val="20"/>
                <w:szCs w:val="20"/>
              </w:rPr>
            </w:pPr>
            <w:r w:rsidDel="00000000" w:rsidR="00000000" w:rsidRPr="00000000">
              <w:rPr>
                <w:rtl w:val="0"/>
              </w:rPr>
            </w:r>
          </w:p>
          <w:sdt>
            <w:sdtPr>
              <w:lock w:val="contentLocked"/>
              <w:id w:val="-1979360929"/>
              <w:tag w:val="goog_rdk_0"/>
            </w:sdtPr>
            <w:sdtContent>
              <w:tbl>
                <w:tblPr>
                  <w:tblStyle w:val="Table2"/>
                  <w:tblW w:w="94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88"/>
                  <w:gridCol w:w="1888"/>
                  <w:gridCol w:w="1888"/>
                  <w:gridCol w:w="1888"/>
                  <w:gridCol w:w="1888"/>
                  <w:tblGridChange w:id="0">
                    <w:tblGrid>
                      <w:gridCol w:w="1888"/>
                      <w:gridCol w:w="1888"/>
                      <w:gridCol w:w="1888"/>
                      <w:gridCol w:w="1888"/>
                      <w:gridCol w:w="1888"/>
                    </w:tblGrid>
                  </w:tblGridChange>
                </w:tblGrid>
                <w:tr>
                  <w:trPr>
                    <w:cantSplit w:val="0"/>
                    <w:tblHeader w:val="0"/>
                  </w:trPr>
                  <w:tc>
                    <w:tcPr>
                      <w:tcMar>
                        <w:top w:w="40.0" w:type="dxa"/>
                        <w:left w:w="40.0" w:type="dxa"/>
                        <w:bottom w:w="40.0" w:type="dxa"/>
                        <w:right w:w="40.0" w:type="dxa"/>
                      </w:tcMar>
                      <w:vAlign w:val="bottom"/>
                    </w:tcPr>
                    <w:p w:rsidR="00000000" w:rsidDel="00000000" w:rsidP="00000000" w:rsidRDefault="00000000" w:rsidRPr="00000000" w14:paraId="0000002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Criterio</w:t>
                      </w:r>
                    </w:p>
                  </w:tc>
                  <w:tc>
                    <w:tcPr>
                      <w:tcMar>
                        <w:top w:w="40.0" w:type="dxa"/>
                        <w:left w:w="40.0" w:type="dxa"/>
                        <w:bottom w:w="40.0" w:type="dxa"/>
                        <w:right w:w="40.0" w:type="dxa"/>
                      </w:tcMar>
                      <w:vAlign w:val="bottom"/>
                    </w:tcPr>
                    <w:p w:rsidR="00000000" w:rsidDel="00000000" w:rsidP="00000000" w:rsidRDefault="00000000" w:rsidRPr="00000000" w14:paraId="0000002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Excelente (5)</w:t>
                      </w:r>
                    </w:p>
                  </w:tc>
                  <w:tc>
                    <w:tcPr>
                      <w:tcMar>
                        <w:top w:w="40.0" w:type="dxa"/>
                        <w:left w:w="40.0" w:type="dxa"/>
                        <w:bottom w:w="40.0" w:type="dxa"/>
                        <w:right w:w="40.0" w:type="dxa"/>
                      </w:tcMar>
                      <w:vAlign w:val="bottom"/>
                    </w:tcPr>
                    <w:p w:rsidR="00000000" w:rsidDel="00000000" w:rsidP="00000000" w:rsidRDefault="00000000" w:rsidRPr="00000000" w14:paraId="0000002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Bueno (4)</w:t>
                      </w:r>
                    </w:p>
                  </w:tc>
                  <w:tc>
                    <w:tcPr>
                      <w:tcMar>
                        <w:top w:w="40.0" w:type="dxa"/>
                        <w:left w:w="40.0" w:type="dxa"/>
                        <w:bottom w:w="40.0" w:type="dxa"/>
                        <w:right w:w="40.0" w:type="dxa"/>
                      </w:tcMar>
                      <w:vAlign w:val="bottom"/>
                    </w:tcPr>
                    <w:p w:rsidR="00000000" w:rsidDel="00000000" w:rsidP="00000000" w:rsidRDefault="00000000" w:rsidRPr="00000000" w14:paraId="0000002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Aceptable (3)</w:t>
                      </w:r>
                    </w:p>
                  </w:tc>
                  <w:tc>
                    <w:tcPr>
                      <w:tcMar>
                        <w:top w:w="40.0" w:type="dxa"/>
                        <w:left w:w="40.0" w:type="dxa"/>
                        <w:bottom w:w="40.0" w:type="dxa"/>
                        <w:right w:w="40.0" w:type="dxa"/>
                      </w:tcMar>
                      <w:vAlign w:val="bottom"/>
                    </w:tcPr>
                    <w:p w:rsidR="00000000" w:rsidDel="00000000" w:rsidP="00000000" w:rsidRDefault="00000000" w:rsidRPr="00000000" w14:paraId="0000002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Bajo (1-2)</w:t>
                      </w:r>
                    </w:p>
                  </w:tc>
                </w:tr>
                <w:tr>
                  <w:trPr>
                    <w:cantSplit w:val="0"/>
                    <w:tblHeader w:val="0"/>
                  </w:trPr>
                  <w:tc>
                    <w:tcPr>
                      <w:tcMar>
                        <w:top w:w="40.0" w:type="dxa"/>
                        <w:left w:w="40.0" w:type="dxa"/>
                        <w:bottom w:w="40.0" w:type="dxa"/>
                        <w:right w:w="40.0" w:type="dxa"/>
                      </w:tcMar>
                      <w:vAlign w:val="bottom"/>
                    </w:tcPr>
                    <w:p w:rsidR="00000000" w:rsidDel="00000000" w:rsidP="00000000" w:rsidRDefault="00000000" w:rsidRPr="00000000" w14:paraId="0000002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Comprensión Conceptual</w:t>
                      </w:r>
                    </w:p>
                  </w:tc>
                  <w:tc>
                    <w:tcPr>
                      <w:tcMar>
                        <w:top w:w="40.0" w:type="dxa"/>
                        <w:left w:w="40.0" w:type="dxa"/>
                        <w:bottom w:w="40.0" w:type="dxa"/>
                        <w:right w:w="40.0" w:type="dxa"/>
                      </w:tcMar>
                      <w:vAlign w:val="bottom"/>
                    </w:tcPr>
                    <w:p w:rsidR="00000000" w:rsidDel="00000000" w:rsidP="00000000" w:rsidRDefault="00000000" w:rsidRPr="00000000" w14:paraId="0000002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Demuestra un entendimiento profundo y preciso de los principios de dilatación térmica y transferencia de calor, aplicándolos correctamente en el análisis.</w:t>
                      </w:r>
                    </w:p>
                  </w:tc>
                  <w:tc>
                    <w:tcPr>
                      <w:tcMar>
                        <w:top w:w="40.0" w:type="dxa"/>
                        <w:left w:w="40.0" w:type="dxa"/>
                        <w:bottom w:w="40.0" w:type="dxa"/>
                        <w:right w:w="40.0" w:type="dxa"/>
                      </w:tcMar>
                      <w:vAlign w:val="bottom"/>
                    </w:tcPr>
                    <w:p w:rsidR="00000000" w:rsidDel="00000000" w:rsidP="00000000" w:rsidRDefault="00000000" w:rsidRPr="00000000" w14:paraId="0000002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Muestra un buen entendimiento de los conceptos teóricos, aunque podría profundizar más en su aplicación práctica.</w:t>
                      </w:r>
                    </w:p>
                  </w:tc>
                  <w:tc>
                    <w:tcPr>
                      <w:tcMar>
                        <w:top w:w="40.0" w:type="dxa"/>
                        <w:left w:w="40.0" w:type="dxa"/>
                        <w:bottom w:w="40.0" w:type="dxa"/>
                        <w:right w:w="40.0" w:type="dxa"/>
                      </w:tcMar>
                      <w:vAlign w:val="bottom"/>
                    </w:tcPr>
                    <w:p w:rsidR="00000000" w:rsidDel="00000000" w:rsidP="00000000" w:rsidRDefault="00000000" w:rsidRPr="00000000" w14:paraId="0000002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Tiene un conocimiento básico de los conceptos teóricos, pero presenta algunas deficiencias en su aplicación.</w:t>
                      </w:r>
                    </w:p>
                  </w:tc>
                  <w:tc>
                    <w:tcPr>
                      <w:tcMar>
                        <w:top w:w="40.0" w:type="dxa"/>
                        <w:left w:w="0.0" w:type="dxa"/>
                        <w:bottom w:w="40.0" w:type="dxa"/>
                        <w:right w:w="0.0" w:type="dxa"/>
                      </w:tcMar>
                      <w:vAlign w:val="bottom"/>
                    </w:tcPr>
                    <w:p w:rsidR="00000000" w:rsidDel="00000000" w:rsidP="00000000" w:rsidRDefault="00000000" w:rsidRPr="00000000" w14:paraId="0000002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Muestra un conocimiento limitado o incorrecto de los conceptos teóricos.</w:t>
                      </w:r>
                    </w:p>
                  </w:tc>
                </w:tr>
                <w:tr>
                  <w:trPr>
                    <w:cantSplit w:val="0"/>
                    <w:tblHeader w:val="0"/>
                  </w:trPr>
                  <w:tc>
                    <w:tcPr>
                      <w:tcMar>
                        <w:top w:w="40.0" w:type="dxa"/>
                        <w:left w:w="40.0" w:type="dxa"/>
                        <w:bottom w:w="40.0" w:type="dxa"/>
                        <w:right w:w="40.0" w:type="dxa"/>
                      </w:tcMar>
                      <w:vAlign w:val="bottom"/>
                    </w:tcPr>
                    <w:p w:rsidR="00000000" w:rsidDel="00000000" w:rsidP="00000000" w:rsidRDefault="00000000" w:rsidRPr="00000000" w14:paraId="0000002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Ejecución y Observación</w:t>
                      </w:r>
                    </w:p>
                  </w:tc>
                  <w:tc>
                    <w:tcPr>
                      <w:tcMar>
                        <w:top w:w="40.0" w:type="dxa"/>
                        <w:left w:w="40.0" w:type="dxa"/>
                        <w:bottom w:w="40.0" w:type="dxa"/>
                        <w:right w:w="40.0" w:type="dxa"/>
                      </w:tcMar>
                      <w:vAlign w:val="bottom"/>
                    </w:tcPr>
                    <w:p w:rsidR="00000000" w:rsidDel="00000000" w:rsidP="00000000" w:rsidRDefault="00000000" w:rsidRPr="00000000" w14:paraId="0000002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Sigue el procedimiento con precisión, y las observaciones cualitativas son detalladas, pertinentes y bien documentadas.</w:t>
                      </w:r>
                    </w:p>
                  </w:tc>
                  <w:tc>
                    <w:tcPr>
                      <w:tcMar>
                        <w:top w:w="40.0" w:type="dxa"/>
                        <w:left w:w="40.0" w:type="dxa"/>
                        <w:bottom w:w="40.0" w:type="dxa"/>
                        <w:right w:w="40.0" w:type="dxa"/>
                      </w:tcMar>
                      <w:vAlign w:val="bottom"/>
                    </w:tcPr>
                    <w:p w:rsidR="00000000" w:rsidDel="00000000" w:rsidP="00000000" w:rsidRDefault="00000000" w:rsidRPr="00000000" w14:paraId="0000002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Sigue en su mayoría el procedimiento, y las observaciones son correctas pero podrían ser más detalladas.</w:t>
                      </w:r>
                    </w:p>
                  </w:tc>
                  <w:tc>
                    <w:tcPr>
                      <w:tcMar>
                        <w:top w:w="40.0" w:type="dxa"/>
                        <w:left w:w="40.0" w:type="dxa"/>
                        <w:bottom w:w="40.0" w:type="dxa"/>
                        <w:right w:w="40.0" w:type="dxa"/>
                      </w:tcMar>
                      <w:vAlign w:val="bottom"/>
                    </w:tcPr>
                    <w:p w:rsidR="00000000" w:rsidDel="00000000" w:rsidP="00000000" w:rsidRDefault="00000000" w:rsidRPr="00000000" w14:paraId="0000002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Tiene dificultades para seguir el procedimiento, lo que afecta la calidad de las observaciones, que son superficiales.</w:t>
                      </w:r>
                    </w:p>
                  </w:tc>
                  <w:tc>
                    <w:tcPr>
                      <w:tcMar>
                        <w:top w:w="40.0" w:type="dxa"/>
                        <w:left w:w="0.0" w:type="dxa"/>
                        <w:bottom w:w="40.0" w:type="dxa"/>
                        <w:right w:w="0.0" w:type="dxa"/>
                      </w:tcMar>
                      <w:vAlign w:val="bottom"/>
                    </w:tcPr>
                    <w:p w:rsidR="00000000" w:rsidDel="00000000" w:rsidP="00000000" w:rsidRDefault="00000000" w:rsidRPr="00000000" w14:paraId="0000002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 sigue el procedimiento de manera adecuada y las observaciones son inexistentes o irrelevantes.</w:t>
                      </w:r>
                    </w:p>
                  </w:tc>
                </w:tr>
                <w:tr>
                  <w:trPr>
                    <w:cantSplit w:val="0"/>
                    <w:tblHeader w:val="0"/>
                  </w:trPr>
                  <w:tc>
                    <w:tcPr>
                      <w:tcMar>
                        <w:top w:w="40.0" w:type="dxa"/>
                        <w:left w:w="40.0" w:type="dxa"/>
                        <w:bottom w:w="40.0" w:type="dxa"/>
                        <w:right w:w="40.0" w:type="dxa"/>
                      </w:tcMar>
                      <w:vAlign w:val="bottom"/>
                    </w:tcPr>
                    <w:p w:rsidR="00000000" w:rsidDel="00000000" w:rsidP="00000000" w:rsidRDefault="00000000" w:rsidRPr="00000000" w14:paraId="0000002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Análisis y Discusión</w:t>
                      </w:r>
                    </w:p>
                  </w:tc>
                  <w:tc>
                    <w:tcPr>
                      <w:tcMar>
                        <w:top w:w="40.0" w:type="dxa"/>
                        <w:left w:w="40.0" w:type="dxa"/>
                        <w:bottom w:w="40.0" w:type="dxa"/>
                        <w:right w:w="40.0" w:type="dxa"/>
                      </w:tcMar>
                      <w:vAlign w:val="bottom"/>
                    </w:tcPr>
                    <w:p w:rsidR="00000000" w:rsidDel="00000000" w:rsidP="00000000" w:rsidRDefault="00000000" w:rsidRPr="00000000" w14:paraId="0000003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Relaciona de forma crítica y coherente las observaciones con la teoría, explicando los fenómenos observados y proponiendo razonamientos sólidos.</w:t>
                      </w:r>
                    </w:p>
                  </w:tc>
                  <w:tc>
                    <w:tcPr>
                      <w:tcMar>
                        <w:top w:w="40.0" w:type="dxa"/>
                        <w:left w:w="40.0" w:type="dxa"/>
                        <w:bottom w:w="40.0" w:type="dxa"/>
                        <w:right w:w="40.0" w:type="dxa"/>
                      </w:tcMar>
                      <w:vAlign w:val="bottom"/>
                    </w:tcPr>
                    <w:p w:rsidR="00000000" w:rsidDel="00000000" w:rsidP="00000000" w:rsidRDefault="00000000" w:rsidRPr="00000000" w14:paraId="0000003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Relaciona adecuadamente las observaciones con la teoría, pero el análisis podría ser más profundo.</w:t>
                      </w:r>
                    </w:p>
                  </w:tc>
                  <w:tc>
                    <w:tcPr>
                      <w:tcMar>
                        <w:top w:w="40.0" w:type="dxa"/>
                        <w:left w:w="40.0" w:type="dxa"/>
                        <w:bottom w:w="40.0" w:type="dxa"/>
                        <w:right w:w="40.0" w:type="dxa"/>
                      </w:tcMar>
                      <w:vAlign w:val="bottom"/>
                    </w:tcPr>
                    <w:p w:rsidR="00000000" w:rsidDel="00000000" w:rsidP="00000000" w:rsidRDefault="00000000" w:rsidRPr="00000000" w14:paraId="0000003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Intenta relacionar las observaciones con la teoría, pero el análisis es superficial o contiene errores conceptuales.</w:t>
                      </w:r>
                    </w:p>
                  </w:tc>
                  <w:tc>
                    <w:tcPr>
                      <w:tcMar>
                        <w:top w:w="40.0" w:type="dxa"/>
                        <w:left w:w="0.0" w:type="dxa"/>
                        <w:bottom w:w="40.0" w:type="dxa"/>
                        <w:right w:w="0.0" w:type="dxa"/>
                      </w:tcMar>
                      <w:vAlign w:val="bottom"/>
                    </w:tcPr>
                    <w:p w:rsidR="00000000" w:rsidDel="00000000" w:rsidP="00000000" w:rsidRDefault="00000000" w:rsidRPr="00000000" w14:paraId="0000003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 realiza un análisis de los resultados o este es incorrecto.</w:t>
                      </w:r>
                    </w:p>
                  </w:tc>
                </w:tr>
                <w:tr>
                  <w:trPr>
                    <w:cantSplit w:val="0"/>
                    <w:tblHeader w:val="0"/>
                  </w:trPr>
                  <w:tc>
                    <w:tcPr>
                      <w:tcMar>
                        <w:top w:w="40.0" w:type="dxa"/>
                        <w:left w:w="40.0" w:type="dxa"/>
                        <w:bottom w:w="40.0" w:type="dxa"/>
                        <w:right w:w="40.0" w:type="dxa"/>
                      </w:tcMar>
                      <w:vAlign w:val="bottom"/>
                    </w:tcPr>
                    <w:p w:rsidR="00000000" w:rsidDel="00000000" w:rsidP="00000000" w:rsidRDefault="00000000" w:rsidRPr="00000000" w14:paraId="0000003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Presentación y Redacción</w:t>
                      </w:r>
                    </w:p>
                  </w:tc>
                  <w:tc>
                    <w:tcPr>
                      <w:tcMar>
                        <w:top w:w="40.0" w:type="dxa"/>
                        <w:left w:w="40.0" w:type="dxa"/>
                        <w:bottom w:w="40.0" w:type="dxa"/>
                        <w:right w:w="40.0" w:type="dxa"/>
                      </w:tcMar>
                      <w:vAlign w:val="bottom"/>
                    </w:tcPr>
                    <w:p w:rsidR="00000000" w:rsidDel="00000000" w:rsidP="00000000" w:rsidRDefault="00000000" w:rsidRPr="00000000" w14:paraId="0000003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El informe es claro, está bien organizado, utiliza un lenguaje académico preciso y no presenta errores gramaticales u ortográficos.</w:t>
                      </w:r>
                    </w:p>
                  </w:tc>
                  <w:tc>
                    <w:tcPr>
                      <w:tcMar>
                        <w:top w:w="40.0" w:type="dxa"/>
                        <w:left w:w="40.0" w:type="dxa"/>
                        <w:bottom w:w="40.0" w:type="dxa"/>
                        <w:right w:w="40.0" w:type="dxa"/>
                      </w:tcMar>
                      <w:vAlign w:val="bottom"/>
                    </w:tcPr>
                    <w:p w:rsidR="00000000" w:rsidDel="00000000" w:rsidP="00000000" w:rsidRDefault="00000000" w:rsidRPr="00000000" w14:paraId="0000003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El informe es mayormente claro y organizado, con pocos errores de redacción.</w:t>
                      </w:r>
                    </w:p>
                  </w:tc>
                  <w:tc>
                    <w:tcPr>
                      <w:tcMar>
                        <w:top w:w="40.0" w:type="dxa"/>
                        <w:left w:w="40.0" w:type="dxa"/>
                        <w:bottom w:w="40.0" w:type="dxa"/>
                        <w:right w:w="40.0" w:type="dxa"/>
                      </w:tcMar>
                      <w:vAlign w:val="bottom"/>
                    </w:tcPr>
                    <w:p w:rsidR="00000000" w:rsidDel="00000000" w:rsidP="00000000" w:rsidRDefault="00000000" w:rsidRPr="00000000" w14:paraId="0000003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El informe presenta problemas de organización o claridad, y contiene varios errores de redacción.</w:t>
                      </w:r>
                    </w:p>
                  </w:tc>
                  <w:tc>
                    <w:tcPr>
                      <w:tcMar>
                        <w:top w:w="40.0" w:type="dxa"/>
                        <w:left w:w="0.0" w:type="dxa"/>
                        <w:bottom w:w="40.0" w:type="dxa"/>
                        <w:right w:w="0.0" w:type="dxa"/>
                      </w:tcMar>
                      <w:vAlign w:val="bottom"/>
                    </w:tcPr>
                    <w:p w:rsidR="00000000" w:rsidDel="00000000" w:rsidP="00000000" w:rsidRDefault="00000000" w:rsidRPr="00000000" w14:paraId="0000003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El informe es desorganizado, confuso y con numerosos errores.</w:t>
                      </w:r>
                    </w:p>
                  </w:tc>
                </w:tr>
              </w:tbl>
            </w:sdtContent>
          </w:sdt>
          <w:p w:rsidR="00000000" w:rsidDel="00000000" w:rsidP="00000000" w:rsidRDefault="00000000" w:rsidRPr="00000000" w14:paraId="00000039">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A">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B">
            <w:pPr>
              <w:jc w:val="both"/>
              <w:rPr>
                <w:rFonts w:ascii="Arial" w:cs="Arial" w:eastAsia="Arial" w:hAnsi="Arial"/>
                <w:sz w:val="20"/>
                <w:szCs w:val="20"/>
              </w:rPr>
            </w:pPr>
            <w:r w:rsidDel="00000000" w:rsidR="00000000" w:rsidRPr="00000000">
              <w:rPr>
                <w:rtl w:val="0"/>
              </w:rPr>
            </w:r>
          </w:p>
        </w:tc>
      </w:tr>
      <w:tr>
        <w:trPr>
          <w:cantSplit w:val="0"/>
          <w:tblHeader w:val="0"/>
        </w:trPr>
        <w:tc>
          <w:tcPr>
            <w:shd w:fill="00d2c5" w:val="clear"/>
          </w:tcPr>
          <w:p w:rsidR="00000000" w:rsidDel="00000000" w:rsidP="00000000" w:rsidRDefault="00000000" w:rsidRPr="00000000" w14:paraId="0000003C">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i w:val="0"/>
                <w:smallCaps w:val="0"/>
                <w:strike w:val="0"/>
                <w:sz w:val="20"/>
                <w:szCs w:val="20"/>
                <w:shd w:fill="auto" w:val="clear"/>
                <w:vertAlign w:val="baseline"/>
              </w:rPr>
            </w:pPr>
            <w:r w:rsidDel="00000000" w:rsidR="00000000" w:rsidRPr="00000000">
              <w:rPr>
                <w:rFonts w:ascii="Arial" w:cs="Arial" w:eastAsia="Arial" w:hAnsi="Arial"/>
                <w:b w:val="1"/>
                <w:i w:val="0"/>
                <w:smallCaps w:val="0"/>
                <w:strike w:val="0"/>
                <w:sz w:val="20"/>
                <w:szCs w:val="20"/>
                <w:u w:val="none"/>
                <w:shd w:fill="auto" w:val="clear"/>
                <w:vertAlign w:val="baseline"/>
                <w:rtl w:val="0"/>
              </w:rPr>
              <w:t xml:space="preserve">MATERIALES, REACTIVOS, EQUIPOS E INSUMOS</w:t>
            </w:r>
            <w:r w:rsidDel="00000000" w:rsidR="00000000" w:rsidRPr="00000000">
              <w:rPr>
                <w:rtl w:val="0"/>
              </w:rPr>
            </w:r>
          </w:p>
        </w:tc>
      </w:tr>
      <w:tr>
        <w:trPr>
          <w:cantSplit w:val="0"/>
          <w:tblHeader w:val="0"/>
        </w:trPr>
        <w:tc>
          <w:tcPr/>
          <w:p w:rsidR="00000000" w:rsidDel="00000000" w:rsidP="00000000" w:rsidRDefault="00000000" w:rsidRPr="00000000" w14:paraId="0000003D">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E">
            <w:pPr>
              <w:jc w:val="both"/>
              <w:rPr>
                <w:rFonts w:ascii="Arial" w:cs="Arial" w:eastAsia="Arial" w:hAnsi="Arial"/>
                <w:sz w:val="20"/>
                <w:szCs w:val="20"/>
              </w:rPr>
            </w:pPr>
            <w:r w:rsidDel="00000000" w:rsidR="00000000" w:rsidRPr="00000000">
              <w:rPr>
                <w:rtl w:val="0"/>
              </w:rPr>
            </w:r>
          </w:p>
          <w:sdt>
            <w:sdtPr>
              <w:lock w:val="contentLocked"/>
              <w:id w:val="1494008729"/>
              <w:tag w:val="goog_rdk_1"/>
            </w:sdtPr>
            <w:sdtContent>
              <w:tbl>
                <w:tblPr>
                  <w:tblStyle w:val="Table3"/>
                  <w:tblW w:w="94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46.6666666666665"/>
                  <w:gridCol w:w="3146.6666666666665"/>
                  <w:gridCol w:w="3146.6666666666665"/>
                  <w:tblGridChange w:id="0">
                    <w:tblGrid>
                      <w:gridCol w:w="3146.6666666666665"/>
                      <w:gridCol w:w="3146.6666666666665"/>
                      <w:gridCol w:w="3146.6666666666665"/>
                    </w:tblGrid>
                  </w:tblGridChange>
                </w:tblGrid>
                <w:tr>
                  <w:trPr>
                    <w:cantSplit w:val="0"/>
                    <w:tblHeader w:val="0"/>
                  </w:trPr>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Categoría</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4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Ítem</w:t>
                      </w:r>
                    </w:p>
                  </w:tc>
                  <w:tc>
                    <w:tcPr>
                      <w:tcBorders>
                        <w:top w:color="000000" w:space="0" w:sz="7" w:val="single"/>
                        <w:left w:color="000000" w:space="0" w:sz="7" w:val="single"/>
                        <w:bottom w:color="000000" w:space="0" w:sz="7" w:val="single"/>
                        <w:right w:color="000000" w:space="0" w:sz="7" w:val="single"/>
                      </w:tcBorders>
                      <w:tcMar>
                        <w:top w:w="40.0" w:type="dxa"/>
                        <w:left w:w="0.0" w:type="dxa"/>
                        <w:bottom w:w="40.0" w:type="dxa"/>
                        <w:right w:w="0.0" w:type="dxa"/>
                      </w:tcMar>
                      <w:vAlign w:val="bottom"/>
                    </w:tcPr>
                    <w:p w:rsidR="00000000" w:rsidDel="00000000" w:rsidP="00000000" w:rsidRDefault="00000000" w:rsidRPr="00000000" w14:paraId="0000004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Especificaciones</w:t>
                      </w:r>
                    </w:p>
                  </w:tc>
                </w:tr>
                <w:tr>
                  <w:trPr>
                    <w:cantSplit w:val="0"/>
                    <w:tblHeader w:val="0"/>
                  </w:trPr>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4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Material General</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4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Lata de metal vacía</w:t>
                      </w:r>
                    </w:p>
                  </w:tc>
                  <w:tc>
                    <w:tcPr>
                      <w:tcBorders>
                        <w:top w:color="000000" w:space="0" w:sz="7" w:val="single"/>
                        <w:left w:color="000000" w:space="0" w:sz="7" w:val="single"/>
                        <w:bottom w:color="000000" w:space="0" w:sz="7" w:val="single"/>
                        <w:right w:color="000000" w:space="0" w:sz="7" w:val="single"/>
                      </w:tcBorders>
                      <w:tcMar>
                        <w:top w:w="40.0" w:type="dxa"/>
                        <w:left w:w="0.0" w:type="dxa"/>
                        <w:bottom w:w="40.0" w:type="dxa"/>
                        <w:right w:w="0.0" w:type="dxa"/>
                      </w:tcMar>
                      <w:vAlign w:val="bottom"/>
                    </w:tcPr>
                    <w:p w:rsidR="00000000" w:rsidDel="00000000" w:rsidP="00000000" w:rsidRDefault="00000000" w:rsidRPr="00000000" w14:paraId="0000004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 unidades, limpias y sin abolladuras</w:t>
                      </w:r>
                    </w:p>
                  </w:tc>
                </w:tr>
                <w:tr>
                  <w:trPr>
                    <w:cantSplit w:val="0"/>
                    <w:tblHeader w:val="0"/>
                  </w:trPr>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45">
                      <w:pPr>
                        <w:widowControl w:val="0"/>
                        <w:spacing w:after="0" w:line="276" w:lineRule="auto"/>
                        <w:rPr>
                          <w:rFonts w:ascii="Arial" w:cs="Arial" w:eastAsia="Arial" w:hAnsi="Arial"/>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4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Globo de látex</w:t>
                      </w:r>
                    </w:p>
                  </w:tc>
                  <w:tc>
                    <w:tcPr>
                      <w:tcBorders>
                        <w:top w:color="000000" w:space="0" w:sz="7" w:val="single"/>
                        <w:left w:color="000000" w:space="0" w:sz="7" w:val="single"/>
                        <w:bottom w:color="000000" w:space="0" w:sz="7" w:val="single"/>
                        <w:right w:color="000000" w:space="0" w:sz="7" w:val="single"/>
                      </w:tcBorders>
                      <w:tcMar>
                        <w:top w:w="40.0" w:type="dxa"/>
                        <w:left w:w="0.0" w:type="dxa"/>
                        <w:bottom w:w="40.0" w:type="dxa"/>
                        <w:right w:w="0.0" w:type="dxa"/>
                      </w:tcMar>
                      <w:vAlign w:val="bottom"/>
                    </w:tcPr>
                    <w:p w:rsidR="00000000" w:rsidDel="00000000" w:rsidP="00000000" w:rsidRDefault="00000000" w:rsidRPr="00000000" w14:paraId="0000004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 unidad, desinflado</w:t>
                      </w:r>
                    </w:p>
                  </w:tc>
                </w:tr>
                <w:tr>
                  <w:trPr>
                    <w:cantSplit w:val="0"/>
                    <w:tblHeader w:val="0"/>
                  </w:trPr>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48">
                      <w:pPr>
                        <w:widowControl w:val="0"/>
                        <w:spacing w:after="0" w:line="276" w:lineRule="auto"/>
                        <w:rPr>
                          <w:rFonts w:ascii="Arial" w:cs="Arial" w:eastAsia="Arial" w:hAnsi="Arial"/>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4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Pajita o popote transparente</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4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 unidad</w:t>
                      </w:r>
                    </w:p>
                  </w:tc>
                </w:tr>
                <w:tr>
                  <w:trPr>
                    <w:cantSplit w:val="0"/>
                    <w:tblHeader w:val="0"/>
                  </w:trPr>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4B">
                      <w:pPr>
                        <w:widowControl w:val="0"/>
                        <w:spacing w:after="0" w:line="276" w:lineRule="auto"/>
                        <w:rPr>
                          <w:rFonts w:ascii="Arial" w:cs="Arial" w:eastAsia="Arial" w:hAnsi="Arial"/>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4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Aro de metal</w:t>
                      </w:r>
                    </w:p>
                  </w:tc>
                  <w:tc>
                    <w:tcPr>
                      <w:tcBorders>
                        <w:top w:color="000000" w:space="0" w:sz="7" w:val="single"/>
                        <w:left w:color="000000" w:space="0" w:sz="7" w:val="single"/>
                        <w:bottom w:color="000000" w:space="0" w:sz="7" w:val="single"/>
                        <w:right w:color="000000" w:space="0" w:sz="7" w:val="single"/>
                      </w:tcBorders>
                      <w:tcMar>
                        <w:top w:w="40.0" w:type="dxa"/>
                        <w:left w:w="0.0" w:type="dxa"/>
                        <w:bottom w:w="40.0" w:type="dxa"/>
                        <w:right w:w="0.0" w:type="dxa"/>
                      </w:tcMar>
                      <w:vAlign w:val="bottom"/>
                    </w:tcPr>
                    <w:p w:rsidR="00000000" w:rsidDel="00000000" w:rsidP="00000000" w:rsidRDefault="00000000" w:rsidRPr="00000000" w14:paraId="0000004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E.g., anillo de latón</w:t>
                      </w:r>
                    </w:p>
                  </w:tc>
                </w:tr>
                <w:tr>
                  <w:trPr>
                    <w:cantSplit w:val="0"/>
                    <w:tblHeader w:val="0"/>
                  </w:trPr>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4E">
                      <w:pPr>
                        <w:widowControl w:val="0"/>
                        <w:spacing w:after="0" w:line="276" w:lineRule="auto"/>
                        <w:rPr>
                          <w:rFonts w:ascii="Arial" w:cs="Arial" w:eastAsia="Arial" w:hAnsi="Arial"/>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4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Esfera de metal</w:t>
                      </w:r>
                    </w:p>
                  </w:tc>
                  <w:tc>
                    <w:tcPr>
                      <w:tcBorders>
                        <w:top w:color="000000" w:space="0" w:sz="7" w:val="single"/>
                        <w:left w:color="000000" w:space="0" w:sz="7" w:val="single"/>
                        <w:bottom w:color="000000" w:space="0" w:sz="7" w:val="single"/>
                        <w:right w:color="000000" w:space="0" w:sz="7" w:val="single"/>
                      </w:tcBorders>
                      <w:tcMar>
                        <w:top w:w="40.0" w:type="dxa"/>
                        <w:left w:w="0.0" w:type="dxa"/>
                        <w:bottom w:w="40.0" w:type="dxa"/>
                        <w:right w:w="0.0" w:type="dxa"/>
                      </w:tcMar>
                      <w:vAlign w:val="bottom"/>
                    </w:tcPr>
                    <w:p w:rsidR="00000000" w:rsidDel="00000000" w:rsidP="00000000" w:rsidRDefault="00000000" w:rsidRPr="00000000" w14:paraId="0000005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E.g., esfera de acero, que pase justo por el aro a T° ambiente</w:t>
                      </w:r>
                    </w:p>
                  </w:tc>
                </w:tr>
                <w:tr>
                  <w:trPr>
                    <w:cantSplit w:val="0"/>
                    <w:tblHeader w:val="0"/>
                  </w:trPr>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51">
                      <w:pPr>
                        <w:widowControl w:val="0"/>
                        <w:spacing w:after="0" w:line="276" w:lineRule="auto"/>
                        <w:rPr>
                          <w:rFonts w:ascii="Arial" w:cs="Arial" w:eastAsia="Arial" w:hAnsi="Arial"/>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5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Intercambiador de calor simple</w:t>
                      </w:r>
                    </w:p>
                  </w:tc>
                  <w:tc>
                    <w:tcPr>
                      <w:tcBorders>
                        <w:top w:color="000000" w:space="0" w:sz="7" w:val="single"/>
                        <w:left w:color="000000" w:space="0" w:sz="7" w:val="single"/>
                        <w:bottom w:color="000000" w:space="0" w:sz="7" w:val="single"/>
                        <w:right w:color="000000" w:space="0" w:sz="7" w:val="single"/>
                      </w:tcBorders>
                      <w:tcMar>
                        <w:top w:w="40.0" w:type="dxa"/>
                        <w:left w:w="0.0" w:type="dxa"/>
                        <w:bottom w:w="40.0" w:type="dxa"/>
                        <w:right w:w="0.0" w:type="dxa"/>
                      </w:tcMar>
                      <w:vAlign w:val="bottom"/>
                    </w:tcPr>
                    <w:p w:rsidR="00000000" w:rsidDel="00000000" w:rsidP="00000000" w:rsidRDefault="00000000" w:rsidRPr="00000000" w14:paraId="0000005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 tubos concéntricos de vidrio</w:t>
                      </w:r>
                    </w:p>
                  </w:tc>
                </w:tr>
                <w:tr>
                  <w:trPr>
                    <w:cantSplit w:val="0"/>
                    <w:tblHeader w:val="0"/>
                  </w:trPr>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54">
                      <w:pPr>
                        <w:widowControl w:val="0"/>
                        <w:spacing w:after="0" w:line="276" w:lineRule="auto"/>
                        <w:rPr>
                          <w:rFonts w:ascii="Arial" w:cs="Arial" w:eastAsia="Arial" w:hAnsi="Arial"/>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5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Vasos de precipitados</w:t>
                      </w:r>
                    </w:p>
                  </w:tc>
                  <w:tc>
                    <w:tcPr>
                      <w:tcBorders>
                        <w:top w:color="000000" w:space="0" w:sz="7" w:val="single"/>
                        <w:left w:color="000000" w:space="0" w:sz="7" w:val="single"/>
                        <w:bottom w:color="000000" w:space="0" w:sz="7" w:val="single"/>
                        <w:right w:color="000000" w:space="0" w:sz="7" w:val="single"/>
                      </w:tcBorders>
                      <w:tcMar>
                        <w:top w:w="40.0" w:type="dxa"/>
                        <w:left w:w="0.0" w:type="dxa"/>
                        <w:bottom w:w="40.0" w:type="dxa"/>
                        <w:right w:w="0.0" w:type="dxa"/>
                      </w:tcMar>
                      <w:vAlign w:val="bottom"/>
                    </w:tcPr>
                    <w:p w:rsidR="00000000" w:rsidDel="00000000" w:rsidP="00000000" w:rsidRDefault="00000000" w:rsidRPr="00000000" w14:paraId="0000005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 unidades, 250 mL o superior</w:t>
                      </w:r>
                    </w:p>
                  </w:tc>
                </w:tr>
                <w:tr>
                  <w:trPr>
                    <w:cantSplit w:val="0"/>
                    <w:tblHeader w:val="0"/>
                  </w:trPr>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57">
                      <w:pPr>
                        <w:widowControl w:val="0"/>
                        <w:spacing w:after="0" w:line="276" w:lineRule="auto"/>
                        <w:rPr>
                          <w:rFonts w:ascii="Arial" w:cs="Arial" w:eastAsia="Arial" w:hAnsi="Arial"/>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5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Mangueras de conexión</w:t>
                      </w:r>
                    </w:p>
                  </w:tc>
                  <w:tc>
                    <w:tcPr>
                      <w:tcBorders>
                        <w:top w:color="000000" w:space="0" w:sz="7" w:val="single"/>
                        <w:left w:color="000000" w:space="0" w:sz="7" w:val="single"/>
                        <w:bottom w:color="000000" w:space="0" w:sz="7" w:val="single"/>
                        <w:right w:color="000000" w:space="0" w:sz="7" w:val="single"/>
                      </w:tcBorders>
                      <w:tcMar>
                        <w:top w:w="40.0" w:type="dxa"/>
                        <w:left w:w="0.0" w:type="dxa"/>
                        <w:bottom w:w="40.0" w:type="dxa"/>
                        <w:right w:w="0.0" w:type="dxa"/>
                      </w:tcMar>
                      <w:vAlign w:val="bottom"/>
                    </w:tcPr>
                    <w:p w:rsidR="00000000" w:rsidDel="00000000" w:rsidP="00000000" w:rsidRDefault="00000000" w:rsidRPr="00000000" w14:paraId="0000005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Para el intercambiador de calor</w:t>
                      </w:r>
                    </w:p>
                  </w:tc>
                </w:tr>
                <w:tr>
                  <w:trPr>
                    <w:cantSplit w:val="0"/>
                    <w:tblHeader w:val="0"/>
                  </w:trPr>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5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Equipos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5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Fuente de calor suave</w:t>
                      </w:r>
                    </w:p>
                  </w:tc>
                  <w:tc>
                    <w:tcPr>
                      <w:tcBorders>
                        <w:top w:color="000000" w:space="0" w:sz="7" w:val="single"/>
                        <w:left w:color="000000" w:space="0" w:sz="7" w:val="single"/>
                        <w:bottom w:color="000000" w:space="0" w:sz="7" w:val="single"/>
                        <w:right w:color="000000" w:space="0" w:sz="7" w:val="single"/>
                      </w:tcBorders>
                      <w:tcMar>
                        <w:top w:w="40.0" w:type="dxa"/>
                        <w:left w:w="0.0" w:type="dxa"/>
                        <w:bottom w:w="40.0" w:type="dxa"/>
                        <w:right w:w="0.0" w:type="dxa"/>
                      </w:tcMar>
                      <w:vAlign w:val="bottom"/>
                    </w:tcPr>
                    <w:p w:rsidR="00000000" w:rsidDel="00000000" w:rsidP="00000000" w:rsidRDefault="00000000" w:rsidRPr="00000000" w14:paraId="0000005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Secador de pelo o placa calefactora con control de temperatura</w:t>
                      </w:r>
                    </w:p>
                  </w:tc>
                </w:tr>
                <w:tr>
                  <w:trPr>
                    <w:cantSplit w:val="0"/>
                    <w:tblHeader w:val="0"/>
                  </w:trPr>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5D">
                      <w:pPr>
                        <w:widowControl w:val="0"/>
                        <w:spacing w:after="0" w:line="276" w:lineRule="auto"/>
                        <w:rPr>
                          <w:rFonts w:ascii="Arial" w:cs="Arial" w:eastAsia="Arial" w:hAnsi="Arial"/>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5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Fuente de calor intensa</w:t>
                      </w:r>
                    </w:p>
                  </w:tc>
                  <w:tc>
                    <w:tcPr>
                      <w:tcBorders>
                        <w:top w:color="000000" w:space="0" w:sz="7" w:val="single"/>
                        <w:left w:color="000000" w:space="0" w:sz="7" w:val="single"/>
                        <w:bottom w:color="000000" w:space="0" w:sz="7" w:val="single"/>
                        <w:right w:color="000000" w:space="0" w:sz="7" w:val="single"/>
                      </w:tcBorders>
                      <w:tcMar>
                        <w:top w:w="40.0" w:type="dxa"/>
                        <w:left w:w="0.0" w:type="dxa"/>
                        <w:bottom w:w="40.0" w:type="dxa"/>
                        <w:right w:w="0.0" w:type="dxa"/>
                      </w:tcMar>
                      <w:vAlign w:val="bottom"/>
                    </w:tcPr>
                    <w:p w:rsidR="00000000" w:rsidDel="00000000" w:rsidP="00000000" w:rsidRDefault="00000000" w:rsidRPr="00000000" w14:paraId="0000005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Mechero Bunsen</w:t>
                      </w:r>
                    </w:p>
                  </w:tc>
                </w:tr>
                <w:tr>
                  <w:trPr>
                    <w:cantSplit w:val="0"/>
                    <w:tblHeader w:val="0"/>
                  </w:trPr>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60">
                      <w:pPr>
                        <w:widowControl w:val="0"/>
                        <w:spacing w:after="0" w:line="276" w:lineRule="auto"/>
                        <w:rPr>
                          <w:rFonts w:ascii="Arial" w:cs="Arial" w:eastAsia="Arial" w:hAnsi="Arial"/>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6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Termómetros de laboratorio</w:t>
                      </w:r>
                    </w:p>
                  </w:tc>
                  <w:tc>
                    <w:tcPr>
                      <w:tcBorders>
                        <w:top w:color="000000" w:space="0" w:sz="7" w:val="single"/>
                        <w:left w:color="000000" w:space="0" w:sz="7" w:val="single"/>
                        <w:bottom w:color="000000" w:space="0" w:sz="7" w:val="single"/>
                        <w:right w:color="000000" w:space="0" w:sz="7" w:val="single"/>
                      </w:tcBorders>
                      <w:tcMar>
                        <w:top w:w="40.0" w:type="dxa"/>
                        <w:left w:w="0.0" w:type="dxa"/>
                        <w:bottom w:w="40.0" w:type="dxa"/>
                        <w:right w:w="0.0" w:type="dxa"/>
                      </w:tcMar>
                      <w:vAlign w:val="bottom"/>
                    </w:tcPr>
                    <w:p w:rsidR="00000000" w:rsidDel="00000000" w:rsidP="00000000" w:rsidRDefault="00000000" w:rsidRPr="00000000" w14:paraId="0000006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2-4 unidades, rango 0-100 °C</w:t>
                      </w:r>
                    </w:p>
                  </w:tc>
                </w:tr>
                <w:tr>
                  <w:trPr>
                    <w:cantSplit w:val="0"/>
                    <w:tblHeader w:val="0"/>
                  </w:trPr>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63">
                      <w:pPr>
                        <w:widowControl w:val="0"/>
                        <w:spacing w:after="0" w:line="276" w:lineRule="auto"/>
                        <w:rPr>
                          <w:rFonts w:ascii="Arial" w:cs="Arial" w:eastAsia="Arial" w:hAnsi="Arial"/>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6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Bomba peristáltica pequeña</w:t>
                      </w:r>
                    </w:p>
                  </w:tc>
                  <w:tc>
                    <w:tcPr>
                      <w:tcBorders>
                        <w:top w:color="000000" w:space="0" w:sz="7" w:val="single"/>
                        <w:left w:color="000000" w:space="0" w:sz="7" w:val="single"/>
                        <w:bottom w:color="000000" w:space="0" w:sz="7" w:val="single"/>
                        <w:right w:color="000000" w:space="0" w:sz="7" w:val="single"/>
                      </w:tcBorders>
                      <w:tcMar>
                        <w:top w:w="40.0" w:type="dxa"/>
                        <w:left w:w="0.0" w:type="dxa"/>
                        <w:bottom w:w="40.0" w:type="dxa"/>
                        <w:right w:w="0.0" w:type="dxa"/>
                      </w:tcMar>
                      <w:vAlign w:val="bottom"/>
                    </w:tcPr>
                    <w:p w:rsidR="00000000" w:rsidDel="00000000" w:rsidP="00000000" w:rsidRDefault="00000000" w:rsidRPr="00000000" w14:paraId="0000006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Opcional, para el intercambiador</w:t>
                      </w:r>
                    </w:p>
                  </w:tc>
                </w:tr>
                <w:tr>
                  <w:trPr>
                    <w:cantSplit w:val="0"/>
                    <w:tblHeader w:val="0"/>
                  </w:trPr>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6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Reactivos y Consumibles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6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Agua</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68">
                      <w:pPr>
                        <w:widowControl w:val="0"/>
                        <w:spacing w:after="0" w:line="276" w:lineRule="auto"/>
                        <w:rPr>
                          <w:rFonts w:ascii="Arial" w:cs="Arial" w:eastAsia="Arial" w:hAnsi="Arial"/>
                          <w:sz w:val="20"/>
                          <w:szCs w:val="20"/>
                        </w:rPr>
                      </w:pPr>
                      <w:r w:rsidDel="00000000" w:rsidR="00000000" w:rsidRPr="00000000">
                        <w:rPr>
                          <w:rtl w:val="0"/>
                        </w:rPr>
                      </w:r>
                    </w:p>
                  </w:tc>
                </w:tr>
                <w:tr>
                  <w:trPr>
                    <w:cantSplit w:val="0"/>
                    <w:tblHeader w:val="0"/>
                  </w:trPr>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69">
                      <w:pPr>
                        <w:widowControl w:val="0"/>
                        <w:spacing w:after="0" w:line="276" w:lineRule="auto"/>
                        <w:rPr>
                          <w:rFonts w:ascii="Arial" w:cs="Arial" w:eastAsia="Arial" w:hAnsi="Arial"/>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6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Colorante alimentario</w:t>
                      </w:r>
                    </w:p>
                  </w:tc>
                  <w:tc>
                    <w:tcPr>
                      <w:tcBorders>
                        <w:top w:color="000000" w:space="0" w:sz="7" w:val="single"/>
                        <w:left w:color="000000" w:space="0" w:sz="7" w:val="single"/>
                        <w:bottom w:color="000000" w:space="0" w:sz="7" w:val="single"/>
                        <w:right w:color="000000" w:space="0" w:sz="7" w:val="single"/>
                      </w:tcBorders>
                      <w:tcMar>
                        <w:top w:w="40.0" w:type="dxa"/>
                        <w:left w:w="0.0" w:type="dxa"/>
                        <w:bottom w:w="40.0" w:type="dxa"/>
                        <w:right w:w="0.0" w:type="dxa"/>
                      </w:tcMar>
                      <w:vAlign w:val="bottom"/>
                    </w:tcPr>
                    <w:p w:rsidR="00000000" w:rsidDel="00000000" w:rsidP="00000000" w:rsidRDefault="00000000" w:rsidRPr="00000000" w14:paraId="0000006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Opcional, para mejorar la visualización</w:t>
                      </w:r>
                    </w:p>
                  </w:tc>
                </w:tr>
                <w:tr>
                  <w:trPr>
                    <w:cantSplit w:val="0"/>
                    <w:tblHeader w:val="0"/>
                  </w:trPr>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6C">
                      <w:pPr>
                        <w:widowControl w:val="0"/>
                        <w:spacing w:after="0" w:line="276" w:lineRule="auto"/>
                        <w:rPr>
                          <w:rFonts w:ascii="Arial" w:cs="Arial" w:eastAsia="Arial" w:hAnsi="Arial"/>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6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Cinta adhesiva</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6E">
                      <w:pPr>
                        <w:widowControl w:val="0"/>
                        <w:spacing w:after="0" w:line="276" w:lineRule="auto"/>
                        <w:rPr>
                          <w:rFonts w:ascii="Arial" w:cs="Arial" w:eastAsia="Arial" w:hAnsi="Arial"/>
                          <w:sz w:val="20"/>
                          <w:szCs w:val="20"/>
                        </w:rPr>
                      </w:pPr>
                      <w:r w:rsidDel="00000000" w:rsidR="00000000" w:rsidRPr="00000000">
                        <w:rPr>
                          <w:rtl w:val="0"/>
                        </w:rPr>
                      </w:r>
                    </w:p>
                  </w:tc>
                </w:tr>
                <w:tr>
                  <w:trPr>
                    <w:cantSplit w:val="0"/>
                    <w:tblHeader w:val="0"/>
                  </w:trPr>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6F">
                      <w:pPr>
                        <w:widowControl w:val="0"/>
                        <w:spacing w:after="0" w:line="276" w:lineRule="auto"/>
                        <w:rPr>
                          <w:rFonts w:ascii="Arial" w:cs="Arial" w:eastAsia="Arial" w:hAnsi="Arial"/>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0.0" w:type="dxa"/>
                        <w:bottom w:w="40.0" w:type="dxa"/>
                        <w:right w:w="0.0" w:type="dxa"/>
                      </w:tcMar>
                      <w:vAlign w:val="bottom"/>
                    </w:tcPr>
                    <w:p w:rsidR="00000000" w:rsidDel="00000000" w:rsidP="00000000" w:rsidRDefault="00000000" w:rsidRPr="00000000" w14:paraId="0000007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Guantes resistentes al calor</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71">
                      <w:pPr>
                        <w:widowControl w:val="0"/>
                        <w:spacing w:after="0" w:line="276" w:lineRule="auto"/>
                        <w:rPr>
                          <w:rFonts w:ascii="Arial" w:cs="Arial" w:eastAsia="Arial" w:hAnsi="Arial"/>
                          <w:sz w:val="20"/>
                          <w:szCs w:val="20"/>
                        </w:rPr>
                      </w:pPr>
                      <w:r w:rsidDel="00000000" w:rsidR="00000000" w:rsidRPr="00000000">
                        <w:rPr>
                          <w:rtl w:val="0"/>
                        </w:rPr>
                      </w:r>
                    </w:p>
                  </w:tc>
                </w:tr>
              </w:tbl>
            </w:sdtContent>
          </w:sdt>
          <w:p w:rsidR="00000000" w:rsidDel="00000000" w:rsidP="00000000" w:rsidRDefault="00000000" w:rsidRPr="00000000" w14:paraId="00000072">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3">
            <w:pPr>
              <w:jc w:val="both"/>
              <w:rPr>
                <w:rFonts w:ascii="Arial" w:cs="Arial" w:eastAsia="Arial" w:hAnsi="Arial"/>
                <w:sz w:val="20"/>
                <w:szCs w:val="20"/>
              </w:rPr>
            </w:pPr>
            <w:r w:rsidDel="00000000" w:rsidR="00000000" w:rsidRPr="00000000">
              <w:rPr>
                <w:rtl w:val="0"/>
              </w:rPr>
            </w:r>
          </w:p>
        </w:tc>
      </w:tr>
      <w:tr>
        <w:trPr>
          <w:cantSplit w:val="0"/>
          <w:tblHeader w:val="0"/>
        </w:trPr>
        <w:tc>
          <w:tcPr>
            <w:shd w:fill="00d2c5" w:val="clear"/>
          </w:tcPr>
          <w:p w:rsidR="00000000" w:rsidDel="00000000" w:rsidP="00000000" w:rsidRDefault="00000000" w:rsidRPr="00000000" w14:paraId="00000074">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i w:val="0"/>
                <w:smallCaps w:val="0"/>
                <w:strike w:val="0"/>
                <w:sz w:val="20"/>
                <w:szCs w:val="20"/>
                <w:shd w:fill="auto" w:val="clear"/>
                <w:vertAlign w:val="baseline"/>
              </w:rPr>
            </w:pPr>
            <w:r w:rsidDel="00000000" w:rsidR="00000000" w:rsidRPr="00000000">
              <w:rPr>
                <w:rFonts w:ascii="Arial" w:cs="Arial" w:eastAsia="Arial" w:hAnsi="Arial"/>
                <w:b w:val="1"/>
                <w:i w:val="0"/>
                <w:smallCaps w:val="0"/>
                <w:strike w:val="0"/>
                <w:sz w:val="20"/>
                <w:szCs w:val="20"/>
                <w:u w:val="none"/>
                <w:shd w:fill="auto" w:val="clear"/>
                <w:vertAlign w:val="baseline"/>
                <w:rtl w:val="0"/>
              </w:rPr>
              <w:t xml:space="preserve">TIPO DE RIESGO</w:t>
            </w:r>
            <w:r w:rsidDel="00000000" w:rsidR="00000000" w:rsidRPr="00000000">
              <w:rPr>
                <w:rtl w:val="0"/>
              </w:rPr>
            </w:r>
          </w:p>
        </w:tc>
      </w:tr>
      <w:tr>
        <w:trPr>
          <w:cantSplit w:val="0"/>
          <w:tblHeader w:val="0"/>
        </w:trPr>
        <w:tc>
          <w:tcPr/>
          <w:p w:rsidR="00000000" w:rsidDel="00000000" w:rsidP="00000000" w:rsidRDefault="00000000" w:rsidRPr="00000000" w14:paraId="00000075">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6">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7">
            <w:pPr>
              <w:jc w:val="both"/>
              <w:rPr>
                <w:rFonts w:ascii="Arial" w:cs="Arial" w:eastAsia="Arial" w:hAnsi="Arial"/>
                <w:sz w:val="20"/>
                <w:szCs w:val="20"/>
              </w:rPr>
            </w:pPr>
            <w:r w:rsidDel="00000000" w:rsidR="00000000" w:rsidRPr="00000000">
              <w:rPr>
                <w:rtl w:val="0"/>
              </w:rPr>
            </w:r>
          </w:p>
          <w:sdt>
            <w:sdtPr>
              <w:lock w:val="contentLocked"/>
              <w:id w:val="1471369625"/>
              <w:tag w:val="goog_rdk_2"/>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1380"/>
                  <w:gridCol w:w="3300"/>
                  <w:tblGridChange w:id="0">
                    <w:tblGrid>
                      <w:gridCol w:w="2340"/>
                      <w:gridCol w:w="2340"/>
                      <w:gridCol w:w="1380"/>
                      <w:gridCol w:w="3300"/>
                    </w:tblGrid>
                  </w:tblGridChange>
                </w:tblGrid>
                <w:tr>
                  <w:trPr>
                    <w:cantSplit w:val="0"/>
                    <w:tblHeader w:val="0"/>
                  </w:trPr>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7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Riesgo</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7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Descripción del Peligro</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7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Experimentos Asociados</w:t>
                      </w:r>
                    </w:p>
                  </w:tc>
                  <w:tc>
                    <w:tcPr>
                      <w:tcBorders>
                        <w:top w:color="000000" w:space="0" w:sz="7" w:val="single"/>
                        <w:left w:color="000000" w:space="0" w:sz="7" w:val="single"/>
                        <w:bottom w:color="000000" w:space="0" w:sz="7" w:val="single"/>
                        <w:right w:color="000000" w:space="0" w:sz="7" w:val="single"/>
                      </w:tcBorders>
                      <w:tcMar>
                        <w:top w:w="40.0" w:type="dxa"/>
                        <w:left w:w="0.0" w:type="dxa"/>
                        <w:bottom w:w="40.0" w:type="dxa"/>
                        <w:right w:w="0.0" w:type="dxa"/>
                      </w:tcMar>
                      <w:vAlign w:val="bottom"/>
                    </w:tcPr>
                    <w:p w:rsidR="00000000" w:rsidDel="00000000" w:rsidP="00000000" w:rsidRDefault="00000000" w:rsidRPr="00000000" w14:paraId="0000007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Medida de Control Preventivo</w:t>
                      </w:r>
                    </w:p>
                  </w:tc>
                </w:tr>
                <w:tr>
                  <w:trPr>
                    <w:cantSplit w:val="0"/>
                    <w:tblHeader w:val="0"/>
                  </w:trPr>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7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Quemaduras Térmicas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7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Contacto directo con superficies calientes (lata, aro, esfera, placa calefactora) o fluidos a alta temperatura (agua caliente).</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7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1, 2, 3</w:t>
                      </w:r>
                    </w:p>
                  </w:tc>
                  <w:tc>
                    <w:tcPr>
                      <w:tcBorders>
                        <w:top w:color="000000" w:space="0" w:sz="7" w:val="single"/>
                        <w:left w:color="000000" w:space="0" w:sz="7" w:val="single"/>
                        <w:bottom w:color="000000" w:space="0" w:sz="7" w:val="single"/>
                        <w:right w:color="000000" w:space="0" w:sz="7" w:val="single"/>
                      </w:tcBorders>
                      <w:tcMar>
                        <w:top w:w="40.0" w:type="dxa"/>
                        <w:left w:w="0.0" w:type="dxa"/>
                        <w:bottom w:w="40.0" w:type="dxa"/>
                        <w:right w:w="0.0" w:type="dxa"/>
                      </w:tcMar>
                      <w:vAlign w:val="bottom"/>
                    </w:tcPr>
                    <w:p w:rsidR="00000000" w:rsidDel="00000000" w:rsidP="00000000" w:rsidRDefault="00000000" w:rsidRPr="00000000" w14:paraId="0000007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Utilizar guantes resistentes al calor y pinzas para manipular objetos calientes. No tocar superficies calientes sin protección.</w:t>
                      </w:r>
                    </w:p>
                  </w:tc>
                </w:tr>
                <w:tr>
                  <w:trPr>
                    <w:cantSplit w:val="0"/>
                    <w:tblHeader w:val="0"/>
                  </w:trPr>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8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Incendio</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8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Uso de mechero Bunsen cerca de materiales inflamables.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8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000000" w:space="0" w:sz="7" w:val="single"/>
                        <w:left w:color="000000" w:space="0" w:sz="7" w:val="single"/>
                        <w:bottom w:color="000000" w:space="0" w:sz="7" w:val="single"/>
                        <w:right w:color="000000" w:space="0" w:sz="7" w:val="single"/>
                      </w:tcBorders>
                      <w:tcMar>
                        <w:top w:w="40.0" w:type="dxa"/>
                        <w:left w:w="0.0" w:type="dxa"/>
                        <w:bottom w:w="40.0" w:type="dxa"/>
                        <w:right w:w="0.0" w:type="dxa"/>
                      </w:tcMar>
                      <w:vAlign w:val="bottom"/>
                    </w:tcPr>
                    <w:p w:rsidR="00000000" w:rsidDel="00000000" w:rsidP="00000000" w:rsidRDefault="00000000" w:rsidRPr="00000000" w14:paraId="0000008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Mantener el área de trabajo despejada de cualquier material combustible. Conocer la ubicación y el uso del extintor de incendios.</w:t>
                      </w:r>
                    </w:p>
                  </w:tc>
                </w:tr>
                <w:tr>
                  <w:trPr>
                    <w:cantSplit w:val="0"/>
                    <w:tblHeader w:val="0"/>
                  </w:trPr>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8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Cortes y Lesiones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8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Rotura accidental de material de vidrio (pajita, tubos del intercambiador, termómetros).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8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1, 3</w:t>
                      </w:r>
                    </w:p>
                  </w:tc>
                  <w:tc>
                    <w:tcPr>
                      <w:tcBorders>
                        <w:top w:color="000000" w:space="0" w:sz="7" w:val="single"/>
                        <w:left w:color="000000" w:space="0" w:sz="7" w:val="single"/>
                        <w:bottom w:color="000000" w:space="0" w:sz="7" w:val="single"/>
                        <w:right w:color="000000" w:space="0" w:sz="7" w:val="single"/>
                      </w:tcBorders>
                      <w:tcMar>
                        <w:top w:w="40.0" w:type="dxa"/>
                        <w:left w:w="0.0" w:type="dxa"/>
                        <w:bottom w:w="40.0" w:type="dxa"/>
                        <w:right w:w="0.0" w:type="dxa"/>
                      </w:tcMar>
                      <w:vAlign w:val="bottom"/>
                    </w:tcPr>
                    <w:p w:rsidR="00000000" w:rsidDel="00000000" w:rsidP="00000000" w:rsidRDefault="00000000" w:rsidRPr="00000000" w14:paraId="0000008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Manipular el material de vidrio con cuidado. No aplicar fuerza excesiva. Desechar cualquier vidrio roto en el contenedor designado.</w:t>
                      </w:r>
                    </w:p>
                  </w:tc>
                </w:tr>
                <w:tr>
                  <w:trPr>
                    <w:cantSplit w:val="0"/>
                    <w:tblHeader w:val="0"/>
                  </w:trPr>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8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Resbalones y Caídas</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8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Derrames de agua en el suelo del laboratorio.</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8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1, 3</w:t>
                      </w:r>
                    </w:p>
                  </w:tc>
                  <w:tc>
                    <w:tcPr>
                      <w:tcBorders>
                        <w:top w:color="000000" w:space="0" w:sz="7" w:val="single"/>
                        <w:left w:color="000000" w:space="0" w:sz="7" w:val="single"/>
                        <w:bottom w:color="000000" w:space="0" w:sz="7" w:val="single"/>
                        <w:right w:color="000000" w:space="0" w:sz="7" w:val="single"/>
                      </w:tcBorders>
                      <w:tcMar>
                        <w:top w:w="40.0" w:type="dxa"/>
                        <w:left w:w="0.0" w:type="dxa"/>
                        <w:bottom w:w="40.0" w:type="dxa"/>
                        <w:right w:w="0.0" w:type="dxa"/>
                      </w:tcMar>
                      <w:vAlign w:val="bottom"/>
                    </w:tcPr>
                    <w:p w:rsidR="00000000" w:rsidDel="00000000" w:rsidP="00000000" w:rsidRDefault="00000000" w:rsidRPr="00000000" w14:paraId="0000008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Limpiar cualquier derrame de manera inmediata y señalizar el área si es necesario.</w:t>
                      </w:r>
                    </w:p>
                  </w:tc>
                </w:tr>
              </w:tbl>
            </w:sdtContent>
          </w:sdt>
          <w:p w:rsidR="00000000" w:rsidDel="00000000" w:rsidP="00000000" w:rsidRDefault="00000000" w:rsidRPr="00000000" w14:paraId="0000008C">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D">
            <w:pPr>
              <w:jc w:val="both"/>
              <w:rPr>
                <w:rFonts w:ascii="Arial" w:cs="Arial" w:eastAsia="Arial" w:hAnsi="Arial"/>
                <w:sz w:val="20"/>
                <w:szCs w:val="20"/>
              </w:rPr>
            </w:pPr>
            <w:r w:rsidDel="00000000" w:rsidR="00000000" w:rsidRPr="00000000">
              <w:rPr>
                <w:rtl w:val="0"/>
              </w:rPr>
            </w:r>
          </w:p>
        </w:tc>
      </w:tr>
      <w:tr>
        <w:trPr>
          <w:cantSplit w:val="0"/>
          <w:tblHeader w:val="0"/>
        </w:trPr>
        <w:tc>
          <w:tcPr>
            <w:shd w:fill="00d2c5" w:val="clear"/>
          </w:tcPr>
          <w:p w:rsidR="00000000" w:rsidDel="00000000" w:rsidP="00000000" w:rsidRDefault="00000000" w:rsidRPr="00000000" w14:paraId="0000008E">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i w:val="0"/>
                <w:smallCaps w:val="0"/>
                <w:strike w:val="0"/>
                <w:sz w:val="20"/>
                <w:szCs w:val="20"/>
                <w:shd w:fill="auto" w:val="clear"/>
                <w:vertAlign w:val="baseline"/>
              </w:rPr>
            </w:pPr>
            <w:r w:rsidDel="00000000" w:rsidR="00000000" w:rsidRPr="00000000">
              <w:rPr>
                <w:rFonts w:ascii="Arial" w:cs="Arial" w:eastAsia="Arial" w:hAnsi="Arial"/>
                <w:b w:val="1"/>
                <w:i w:val="0"/>
                <w:smallCaps w:val="0"/>
                <w:strike w:val="0"/>
                <w:sz w:val="20"/>
                <w:szCs w:val="20"/>
                <w:u w:val="none"/>
                <w:shd w:fill="auto" w:val="clear"/>
                <w:vertAlign w:val="baseline"/>
                <w:rtl w:val="0"/>
              </w:rPr>
              <w:t xml:space="preserve">ELEMENTOS DE PROTECCIÓN PERSONAL - EPP</w:t>
            </w:r>
            <w:r w:rsidDel="00000000" w:rsidR="00000000" w:rsidRPr="00000000">
              <w:rPr>
                <w:rtl w:val="0"/>
              </w:rPr>
            </w:r>
          </w:p>
        </w:tc>
      </w:tr>
      <w:tr>
        <w:trPr>
          <w:cantSplit w:val="0"/>
          <w:tblHeader w:val="0"/>
        </w:trPr>
        <w:tc>
          <w:tcPr/>
          <w:p w:rsidR="00000000" w:rsidDel="00000000" w:rsidP="00000000" w:rsidRDefault="00000000" w:rsidRPr="00000000" w14:paraId="0000008F">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0">
            <w:pPr>
              <w:widowControl w:val="0"/>
              <w:spacing w:after="240" w:before="240" w:line="275.9999942779541"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El uso del siguiente equipo es </w:t>
            </w:r>
            <w:r w:rsidDel="00000000" w:rsidR="00000000" w:rsidRPr="00000000">
              <w:rPr>
                <w:rFonts w:ascii="Arial" w:cs="Arial" w:eastAsia="Arial" w:hAnsi="Arial"/>
                <w:b w:val="1"/>
                <w:sz w:val="20"/>
                <w:szCs w:val="20"/>
                <w:rtl w:val="0"/>
              </w:rPr>
              <w:t xml:space="preserve">obligatorio</w:t>
            </w:r>
            <w:r w:rsidDel="00000000" w:rsidR="00000000" w:rsidRPr="00000000">
              <w:rPr>
                <w:rFonts w:ascii="Arial" w:cs="Arial" w:eastAsia="Arial" w:hAnsi="Arial"/>
                <w:sz w:val="20"/>
                <w:szCs w:val="20"/>
                <w:rtl w:val="0"/>
              </w:rPr>
              <w:t xml:space="preserve"> durante toda la permanencia en el laboratorio:</w:t>
            </w:r>
          </w:p>
          <w:p w:rsidR="00000000" w:rsidDel="00000000" w:rsidP="00000000" w:rsidRDefault="00000000" w:rsidRPr="00000000" w14:paraId="00000091">
            <w:pPr>
              <w:widowControl w:val="0"/>
              <w:numPr>
                <w:ilvl w:val="0"/>
                <w:numId w:val="5"/>
              </w:numPr>
              <w:spacing w:after="0" w:afterAutospacing="0" w:before="240" w:line="275.9999942779541" w:lineRule="auto"/>
              <w:ind w:left="72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Protección Ocular:</w:t>
            </w:r>
            <w:r w:rsidDel="00000000" w:rsidR="00000000" w:rsidRPr="00000000">
              <w:rPr>
                <w:rFonts w:ascii="Arial" w:cs="Arial" w:eastAsia="Arial" w:hAnsi="Arial"/>
                <w:sz w:val="20"/>
                <w:szCs w:val="20"/>
                <w:rtl w:val="0"/>
              </w:rPr>
              <w:t xml:space="preserve"> Gafas de seguridad de uso permanente para proteger contra salpicaduras o proyecciones inesperadas.</w:t>
            </w:r>
          </w:p>
          <w:p w:rsidR="00000000" w:rsidDel="00000000" w:rsidP="00000000" w:rsidRDefault="00000000" w:rsidRPr="00000000" w14:paraId="00000092">
            <w:pPr>
              <w:widowControl w:val="0"/>
              <w:numPr>
                <w:ilvl w:val="0"/>
                <w:numId w:val="5"/>
              </w:numPr>
              <w:spacing w:after="0" w:afterAutospacing="0" w:before="0" w:beforeAutospacing="0" w:line="275.9999942779541" w:lineRule="auto"/>
              <w:ind w:left="72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Protección Corporal:</w:t>
            </w:r>
            <w:r w:rsidDel="00000000" w:rsidR="00000000" w:rsidRPr="00000000">
              <w:rPr>
                <w:rFonts w:ascii="Arial" w:cs="Arial" w:eastAsia="Arial" w:hAnsi="Arial"/>
                <w:sz w:val="20"/>
                <w:szCs w:val="20"/>
                <w:rtl w:val="0"/>
              </w:rPr>
              <w:t xml:space="preserve"> Bata de laboratorio, preferiblemente de algodón, mantenida abrochada para proteger la piel y la ropa.</w:t>
            </w:r>
          </w:p>
          <w:p w:rsidR="00000000" w:rsidDel="00000000" w:rsidP="00000000" w:rsidRDefault="00000000" w:rsidRPr="00000000" w14:paraId="00000093">
            <w:pPr>
              <w:widowControl w:val="0"/>
              <w:numPr>
                <w:ilvl w:val="0"/>
                <w:numId w:val="5"/>
              </w:numPr>
              <w:spacing w:after="0" w:afterAutospacing="0" w:before="0" w:beforeAutospacing="0" w:line="275.9999942779541" w:lineRule="auto"/>
              <w:ind w:left="72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Protección de Manos:</w:t>
            </w:r>
            <w:r w:rsidDel="00000000" w:rsidR="00000000" w:rsidRPr="00000000">
              <w:rPr>
                <w:rFonts w:ascii="Arial" w:cs="Arial" w:eastAsia="Arial" w:hAnsi="Arial"/>
                <w:sz w:val="20"/>
                <w:szCs w:val="20"/>
                <w:rtl w:val="0"/>
              </w:rPr>
              <w:t xml:space="preserve"> Guantes resistentes al calor para la manipulación de cualquier objeto sometido a calentamiento en los Experimentos 2 y 3.</w:t>
            </w:r>
          </w:p>
          <w:p w:rsidR="00000000" w:rsidDel="00000000" w:rsidP="00000000" w:rsidRDefault="00000000" w:rsidRPr="00000000" w14:paraId="00000094">
            <w:pPr>
              <w:widowControl w:val="0"/>
              <w:numPr>
                <w:ilvl w:val="0"/>
                <w:numId w:val="5"/>
              </w:numPr>
              <w:spacing w:after="240" w:before="0" w:beforeAutospacing="0" w:line="275.9999942779541" w:lineRule="auto"/>
              <w:ind w:left="72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Vestimenta General:</w:t>
            </w:r>
            <w:r w:rsidDel="00000000" w:rsidR="00000000" w:rsidRPr="00000000">
              <w:rPr>
                <w:rFonts w:ascii="Arial" w:cs="Arial" w:eastAsia="Arial" w:hAnsi="Arial"/>
                <w:sz w:val="20"/>
                <w:szCs w:val="20"/>
                <w:rtl w:val="0"/>
              </w:rPr>
              <w:t xml:space="preserve"> Es obligatorio el uso de pantalones largos y calzado cerrado que cubra completamente el pie. El cabello largo debe estar recogido.</w:t>
            </w:r>
          </w:p>
          <w:p w:rsidR="00000000" w:rsidDel="00000000" w:rsidP="00000000" w:rsidRDefault="00000000" w:rsidRPr="00000000" w14:paraId="00000095">
            <w:pPr>
              <w:widowControl w:val="0"/>
              <w:spacing w:after="240" w:before="0" w:line="275.9999942779541" w:lineRule="auto"/>
              <w:ind w:left="72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6">
            <w:pPr>
              <w:widowControl w:val="0"/>
              <w:spacing w:after="120" w:before="0" w:line="275.9999942779541" w:lineRule="auto"/>
              <w:ind w:left="720" w:firstLine="0"/>
              <w:jc w:val="both"/>
              <w:rPr>
                <w:rFonts w:ascii="Arial" w:cs="Arial" w:eastAsia="Arial" w:hAnsi="Arial"/>
                <w:color w:val="1b1c1d"/>
                <w:sz w:val="20"/>
                <w:szCs w:val="20"/>
              </w:rPr>
            </w:pPr>
            <w:r w:rsidDel="00000000" w:rsidR="00000000" w:rsidRPr="00000000">
              <w:rPr>
                <w:rtl w:val="0"/>
              </w:rPr>
            </w:r>
          </w:p>
        </w:tc>
      </w:tr>
      <w:tr>
        <w:trPr>
          <w:cantSplit w:val="0"/>
          <w:tblHeader w:val="0"/>
        </w:trPr>
        <w:tc>
          <w:tcPr>
            <w:shd w:fill="00d2c5" w:val="clear"/>
          </w:tcPr>
          <w:p w:rsidR="00000000" w:rsidDel="00000000" w:rsidP="00000000" w:rsidRDefault="00000000" w:rsidRPr="00000000" w14:paraId="00000097">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i w:val="0"/>
                <w:smallCaps w:val="0"/>
                <w:strike w:val="0"/>
                <w:sz w:val="20"/>
                <w:szCs w:val="20"/>
                <w:shd w:fill="auto" w:val="clear"/>
                <w:vertAlign w:val="baseline"/>
              </w:rPr>
            </w:pPr>
            <w:r w:rsidDel="00000000" w:rsidR="00000000" w:rsidRPr="00000000">
              <w:rPr>
                <w:rFonts w:ascii="Arial" w:cs="Arial" w:eastAsia="Arial" w:hAnsi="Arial"/>
                <w:b w:val="1"/>
                <w:i w:val="0"/>
                <w:smallCaps w:val="0"/>
                <w:strike w:val="0"/>
                <w:sz w:val="20"/>
                <w:szCs w:val="20"/>
                <w:u w:val="none"/>
                <w:shd w:fill="auto" w:val="clear"/>
                <w:vertAlign w:val="baseline"/>
                <w:rtl w:val="0"/>
              </w:rPr>
              <w:t xml:space="preserve">INSTRUCCIONES SOBRE ACTIVIDADES EN EL LABORATORIO</w:t>
            </w:r>
            <w:r w:rsidDel="00000000" w:rsidR="00000000" w:rsidRPr="00000000">
              <w:rPr>
                <w:rtl w:val="0"/>
              </w:rPr>
            </w:r>
          </w:p>
        </w:tc>
      </w:tr>
      <w:tr>
        <w:trPr>
          <w:cantSplit w:val="0"/>
          <w:trHeight w:val="1065" w:hRule="atLeast"/>
          <w:tblHeader w:val="0"/>
        </w:trPr>
        <w:tc>
          <w:tcPr/>
          <w:p w:rsidR="00000000" w:rsidDel="00000000" w:rsidP="00000000" w:rsidRDefault="00000000" w:rsidRPr="00000000" w14:paraId="00000098">
            <w:pPr>
              <w:spacing w:after="240" w:befor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Experimento 1: Dilatación Térmica en Gases y Líquidos</w:t>
            </w:r>
          </w:p>
          <w:p w:rsidR="00000000" w:rsidDel="00000000" w:rsidP="00000000" w:rsidRDefault="00000000" w:rsidRPr="00000000" w14:paraId="00000099">
            <w:pPr>
              <w:numPr>
                <w:ilvl w:val="0"/>
                <w:numId w:val="4"/>
              </w:numPr>
              <w:spacing w:after="0" w:afterAutospacing="0" w:before="240" w:lineRule="auto"/>
              <w:ind w:left="72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Parte A: Dilatación de Gases</w:t>
            </w:r>
          </w:p>
          <w:p w:rsidR="00000000" w:rsidDel="00000000" w:rsidP="00000000" w:rsidRDefault="00000000" w:rsidRPr="00000000" w14:paraId="0000009A">
            <w:pPr>
              <w:numPr>
                <w:ilvl w:val="1"/>
                <w:numId w:val="4"/>
              </w:numPr>
              <w:spacing w:after="0" w:afterAutospacing="0" w:before="0" w:beforeAutospacing="0" w:lineRule="auto"/>
              <w:ind w:left="144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Montaje:</w:t>
            </w:r>
            <w:r w:rsidDel="00000000" w:rsidR="00000000" w:rsidRPr="00000000">
              <w:rPr>
                <w:rFonts w:ascii="Arial" w:cs="Arial" w:eastAsia="Arial" w:hAnsi="Arial"/>
                <w:sz w:val="20"/>
                <w:szCs w:val="20"/>
                <w:rtl w:val="0"/>
              </w:rPr>
              <w:t xml:space="preserve"> Coloque la boca de un globo desinflado sobre la abertura de una lata de metal vacía. Utilice cinta adhesiva para sellar la unión de manera que sea razonablemente hermética.</w:t>
            </w:r>
          </w:p>
          <w:p w:rsidR="00000000" w:rsidDel="00000000" w:rsidP="00000000" w:rsidRDefault="00000000" w:rsidRPr="00000000" w14:paraId="0000009B">
            <w:pPr>
              <w:numPr>
                <w:ilvl w:val="1"/>
                <w:numId w:val="4"/>
              </w:numPr>
              <w:spacing w:after="0" w:afterAutospacing="0" w:before="0" w:beforeAutospacing="0" w:lineRule="auto"/>
              <w:ind w:left="144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Calentamiento:</w:t>
            </w:r>
            <w:r w:rsidDel="00000000" w:rsidR="00000000" w:rsidRPr="00000000">
              <w:rPr>
                <w:rFonts w:ascii="Arial" w:cs="Arial" w:eastAsia="Arial" w:hAnsi="Arial"/>
                <w:sz w:val="20"/>
                <w:szCs w:val="20"/>
                <w:rtl w:val="0"/>
              </w:rPr>
              <w:t xml:space="preserve"> Aplique calor de forma suave y uniforme a las paredes laterales de la lata utilizando un secador de pelo en su configuración de calor bajo. Evite aplicar calor directamente sobre el globo.</w:t>
            </w:r>
          </w:p>
          <w:p w:rsidR="00000000" w:rsidDel="00000000" w:rsidP="00000000" w:rsidRDefault="00000000" w:rsidRPr="00000000" w14:paraId="0000009C">
            <w:pPr>
              <w:numPr>
                <w:ilvl w:val="1"/>
                <w:numId w:val="4"/>
              </w:numPr>
              <w:spacing w:after="0" w:afterAutospacing="0" w:before="0" w:beforeAutospacing="0" w:lineRule="auto"/>
              <w:ind w:left="144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Observación:</w:t>
            </w:r>
            <w:r w:rsidDel="00000000" w:rsidR="00000000" w:rsidRPr="00000000">
              <w:rPr>
                <w:rFonts w:ascii="Arial" w:cs="Arial" w:eastAsia="Arial" w:hAnsi="Arial"/>
                <w:sz w:val="20"/>
                <w:szCs w:val="20"/>
                <w:rtl w:val="0"/>
              </w:rPr>
              <w:t xml:space="preserve"> Observe atentamente el globo durante 1-2 minutos. Anote cualquier cambio en su volumen aparente. ¿El inflado es inmediato o gradual?</w:t>
            </w:r>
          </w:p>
          <w:p w:rsidR="00000000" w:rsidDel="00000000" w:rsidP="00000000" w:rsidRDefault="00000000" w:rsidRPr="00000000" w14:paraId="0000009D">
            <w:pPr>
              <w:numPr>
                <w:ilvl w:val="1"/>
                <w:numId w:val="4"/>
              </w:numPr>
              <w:spacing w:after="0" w:afterAutospacing="0" w:before="0" w:beforeAutospacing="0" w:lineRule="auto"/>
              <w:ind w:left="144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Enfriamiento:</w:t>
            </w:r>
            <w:r w:rsidDel="00000000" w:rsidR="00000000" w:rsidRPr="00000000">
              <w:rPr>
                <w:rFonts w:ascii="Arial" w:cs="Arial" w:eastAsia="Arial" w:hAnsi="Arial"/>
                <w:sz w:val="20"/>
                <w:szCs w:val="20"/>
                <w:rtl w:val="0"/>
              </w:rPr>
              <w:t xml:space="preserve"> Cese la aplicación de calor y coloque la lata sobre una superficie aislante. Observe y registre el comportamiento del globo a medida que el sistema vuelve al equilibrio térmico con el ambiente.</w:t>
            </w:r>
          </w:p>
          <w:p w:rsidR="00000000" w:rsidDel="00000000" w:rsidP="00000000" w:rsidRDefault="00000000" w:rsidRPr="00000000" w14:paraId="0000009E">
            <w:pPr>
              <w:numPr>
                <w:ilvl w:val="1"/>
                <w:numId w:val="4"/>
              </w:numPr>
              <w:spacing w:after="0" w:afterAutospacing="0" w:before="0" w:beforeAutospacing="0" w:lineRule="auto"/>
              <w:ind w:left="144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Análisis:</w:t>
            </w:r>
            <w:r w:rsidDel="00000000" w:rsidR="00000000" w:rsidRPr="00000000">
              <w:rPr>
                <w:rFonts w:ascii="Arial" w:cs="Arial" w:eastAsia="Arial" w:hAnsi="Arial"/>
                <w:sz w:val="20"/>
                <w:szCs w:val="20"/>
                <w:rtl w:val="0"/>
              </w:rPr>
              <w:t xml:space="preserve"> Relacione la expansión del globo con el aumento de la energía cinética de las moléculas de aire dentro de la lata. Este aumento de energía provoca un mayor número de colisiones con las paredes internas del globo, resultando en una expansión observable (manifestación de la Ley de Charles a presión aproximadamente constante).</w:t>
            </w:r>
          </w:p>
          <w:p w:rsidR="00000000" w:rsidDel="00000000" w:rsidP="00000000" w:rsidRDefault="00000000" w:rsidRPr="00000000" w14:paraId="0000009F">
            <w:pPr>
              <w:numPr>
                <w:ilvl w:val="0"/>
                <w:numId w:val="4"/>
              </w:numPr>
              <w:spacing w:after="0" w:afterAutospacing="0" w:before="0" w:beforeAutospacing="0" w:lineRule="auto"/>
              <w:ind w:left="72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Parte B: Dilatación de Líquidos</w:t>
            </w:r>
          </w:p>
          <w:p w:rsidR="00000000" w:rsidDel="00000000" w:rsidP="00000000" w:rsidRDefault="00000000" w:rsidRPr="00000000" w14:paraId="000000A0">
            <w:pPr>
              <w:numPr>
                <w:ilvl w:val="1"/>
                <w:numId w:val="4"/>
              </w:numPr>
              <w:spacing w:after="0" w:afterAutospacing="0" w:before="0" w:beforeAutospacing="0" w:lineRule="auto"/>
              <w:ind w:left="144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Montaje:</w:t>
            </w:r>
            <w:r w:rsidDel="00000000" w:rsidR="00000000" w:rsidRPr="00000000">
              <w:rPr>
                <w:rFonts w:ascii="Arial" w:cs="Arial" w:eastAsia="Arial" w:hAnsi="Arial"/>
                <w:sz w:val="20"/>
                <w:szCs w:val="20"/>
                <w:rtl w:val="0"/>
              </w:rPr>
              <w:t xml:space="preserve"> Llene una segunda lata de metal con agua hasta casi el borde. Si lo desea, añada unas gotas de colorante para facilitar la visualización. Introduzca una pajita transparente en el agua, de modo que una parte quede sumergida y otra sobresalga.</w:t>
            </w:r>
          </w:p>
          <w:p w:rsidR="00000000" w:rsidDel="00000000" w:rsidP="00000000" w:rsidRDefault="00000000" w:rsidRPr="00000000" w14:paraId="000000A1">
            <w:pPr>
              <w:numPr>
                <w:ilvl w:val="1"/>
                <w:numId w:val="4"/>
              </w:numPr>
              <w:spacing w:after="0" w:afterAutospacing="0" w:before="0" w:beforeAutospacing="0" w:lineRule="auto"/>
              <w:ind w:left="144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Sellado:</w:t>
            </w:r>
            <w:r w:rsidDel="00000000" w:rsidR="00000000" w:rsidRPr="00000000">
              <w:rPr>
                <w:rFonts w:ascii="Arial" w:cs="Arial" w:eastAsia="Arial" w:hAnsi="Arial"/>
                <w:sz w:val="20"/>
                <w:szCs w:val="20"/>
                <w:rtl w:val="0"/>
              </w:rPr>
              <w:t xml:space="preserve"> Utilice cinta adhesiva para sellar herméticamente la abertura de la lata alrededor de la pajita, asegurando que no haya fugas. El nivel del agua debe ser visible dentro de la pajita.</w:t>
            </w:r>
          </w:p>
          <w:p w:rsidR="00000000" w:rsidDel="00000000" w:rsidP="00000000" w:rsidRDefault="00000000" w:rsidRPr="00000000" w14:paraId="000000A2">
            <w:pPr>
              <w:numPr>
                <w:ilvl w:val="1"/>
                <w:numId w:val="4"/>
              </w:numPr>
              <w:spacing w:after="0" w:afterAutospacing="0" w:before="0" w:beforeAutospacing="0" w:lineRule="auto"/>
              <w:ind w:left="144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Calentamiento:</w:t>
            </w:r>
            <w:r w:rsidDel="00000000" w:rsidR="00000000" w:rsidRPr="00000000">
              <w:rPr>
                <w:rFonts w:ascii="Arial" w:cs="Arial" w:eastAsia="Arial" w:hAnsi="Arial"/>
                <w:sz w:val="20"/>
                <w:szCs w:val="20"/>
                <w:rtl w:val="0"/>
              </w:rPr>
              <w:t xml:space="preserve"> Aplique calor suave y uniformemente a las paredes de la lata, de la misma manera que en la Parte A.</w:t>
            </w:r>
          </w:p>
          <w:p w:rsidR="00000000" w:rsidDel="00000000" w:rsidP="00000000" w:rsidRDefault="00000000" w:rsidRPr="00000000" w14:paraId="000000A3">
            <w:pPr>
              <w:numPr>
                <w:ilvl w:val="1"/>
                <w:numId w:val="4"/>
              </w:numPr>
              <w:spacing w:after="0" w:afterAutospacing="0" w:before="0" w:beforeAutospacing="0" w:lineRule="auto"/>
              <w:ind w:left="144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Observación:</w:t>
            </w:r>
            <w:r w:rsidDel="00000000" w:rsidR="00000000" w:rsidRPr="00000000">
              <w:rPr>
                <w:rFonts w:ascii="Arial" w:cs="Arial" w:eastAsia="Arial" w:hAnsi="Arial"/>
                <w:sz w:val="20"/>
                <w:szCs w:val="20"/>
                <w:rtl w:val="0"/>
              </w:rPr>
              <w:t xml:space="preserve"> Observe con atención el nivel del líquido dentro de la pajita. Anote si el nivel asciende, desciende o permanece constante.</w:t>
            </w:r>
          </w:p>
          <w:p w:rsidR="00000000" w:rsidDel="00000000" w:rsidP="00000000" w:rsidRDefault="00000000" w:rsidRPr="00000000" w14:paraId="000000A4">
            <w:pPr>
              <w:numPr>
                <w:ilvl w:val="1"/>
                <w:numId w:val="4"/>
              </w:numPr>
              <w:spacing w:after="0" w:afterAutospacing="0" w:before="0" w:beforeAutospacing="0" w:lineRule="auto"/>
              <w:ind w:left="144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Enfriamiento:</w:t>
            </w:r>
            <w:r w:rsidDel="00000000" w:rsidR="00000000" w:rsidRPr="00000000">
              <w:rPr>
                <w:rFonts w:ascii="Arial" w:cs="Arial" w:eastAsia="Arial" w:hAnsi="Arial"/>
                <w:sz w:val="20"/>
                <w:szCs w:val="20"/>
                <w:rtl w:val="0"/>
              </w:rPr>
              <w:t xml:space="preserve"> Retire la fuente de calor y observe el nivel del líquido en la pajita mientras la lata se enfría.</w:t>
            </w:r>
          </w:p>
          <w:p w:rsidR="00000000" w:rsidDel="00000000" w:rsidP="00000000" w:rsidRDefault="00000000" w:rsidRPr="00000000" w14:paraId="000000A5">
            <w:pPr>
              <w:numPr>
                <w:ilvl w:val="1"/>
                <w:numId w:val="4"/>
              </w:numPr>
              <w:spacing w:after="240" w:before="0" w:beforeAutospacing="0" w:lineRule="auto"/>
              <w:ind w:left="144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Análisis:</w:t>
            </w:r>
            <w:r w:rsidDel="00000000" w:rsidR="00000000" w:rsidRPr="00000000">
              <w:rPr>
                <w:rFonts w:ascii="Arial" w:cs="Arial" w:eastAsia="Arial" w:hAnsi="Arial"/>
                <w:sz w:val="20"/>
                <w:szCs w:val="20"/>
                <w:rtl w:val="0"/>
              </w:rPr>
              <w:t xml:space="preserve"> La subida del nivel del líquido en la pajita demuestra la expansión volumétrica del agua. Al aumentar la temperatura, el volumen total del agua aumenta, y este volumen excedente es forzado a ascender por el único camino disponible: el interior de la pajita.</w:t>
            </w:r>
          </w:p>
          <w:p w:rsidR="00000000" w:rsidDel="00000000" w:rsidP="00000000" w:rsidRDefault="00000000" w:rsidRPr="00000000" w14:paraId="000000A6">
            <w:pPr>
              <w:spacing w:after="240" w:befor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Experimento 2: Dilatación Térmica en Sólidos</w:t>
            </w:r>
          </w:p>
          <w:p w:rsidR="00000000" w:rsidDel="00000000" w:rsidP="00000000" w:rsidRDefault="00000000" w:rsidRPr="00000000" w14:paraId="000000A7">
            <w:pPr>
              <w:numPr>
                <w:ilvl w:val="0"/>
                <w:numId w:val="3"/>
              </w:numPr>
              <w:spacing w:after="0" w:afterAutospacing="0" w:before="240" w:lineRule="auto"/>
              <w:ind w:left="72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Verificación Inicial:</w:t>
            </w:r>
            <w:r w:rsidDel="00000000" w:rsidR="00000000" w:rsidRPr="00000000">
              <w:rPr>
                <w:rFonts w:ascii="Arial" w:cs="Arial" w:eastAsia="Arial" w:hAnsi="Arial"/>
                <w:sz w:val="20"/>
                <w:szCs w:val="20"/>
                <w:rtl w:val="0"/>
              </w:rPr>
              <w:t xml:space="preserve"> A temperatura ambiente, confirme que la esfera de metal pasa libremente a través del aro metálico.</w:t>
            </w:r>
          </w:p>
          <w:p w:rsidR="00000000" w:rsidDel="00000000" w:rsidP="00000000" w:rsidRDefault="00000000" w:rsidRPr="00000000" w14:paraId="000000A8">
            <w:pPr>
              <w:numPr>
                <w:ilvl w:val="0"/>
                <w:numId w:val="3"/>
              </w:numPr>
              <w:spacing w:after="0" w:afterAutospacing="0" w:before="0" w:beforeAutospacing="0" w:lineRule="auto"/>
              <w:ind w:left="72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Calentamiento:</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sz w:val="20"/>
                <w:szCs w:val="20"/>
                <w:rtl w:val="0"/>
              </w:rPr>
              <w:t xml:space="preserve">¡PRECAUCIÓN: ALTA TEMPERATURA!</w:t>
            </w:r>
            <w:r w:rsidDel="00000000" w:rsidR="00000000" w:rsidRPr="00000000">
              <w:rPr>
                <w:rFonts w:ascii="Arial" w:cs="Arial" w:eastAsia="Arial" w:hAnsi="Arial"/>
                <w:sz w:val="20"/>
                <w:szCs w:val="20"/>
                <w:rtl w:val="0"/>
              </w:rPr>
              <w:t xml:space="preserve"> Utilizando guantes resistentes al calor y pinzas metálicas, caliente la esfera con el mechero Bunsen. Para un calentamiento uniforme, rote la esfera sobre la llama azul durante aproximadamente 2-3 minutos.</w:t>
            </w:r>
          </w:p>
          <w:p w:rsidR="00000000" w:rsidDel="00000000" w:rsidP="00000000" w:rsidRDefault="00000000" w:rsidRPr="00000000" w14:paraId="000000A9">
            <w:pPr>
              <w:numPr>
                <w:ilvl w:val="0"/>
                <w:numId w:val="3"/>
              </w:numPr>
              <w:spacing w:after="0" w:afterAutospacing="0" w:before="0" w:beforeAutospacing="0" w:lineRule="auto"/>
              <w:ind w:left="72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Prueba Post-Calentamiento:</w:t>
            </w:r>
            <w:r w:rsidDel="00000000" w:rsidR="00000000" w:rsidRPr="00000000">
              <w:rPr>
                <w:rFonts w:ascii="Arial" w:cs="Arial" w:eastAsia="Arial" w:hAnsi="Arial"/>
                <w:sz w:val="20"/>
                <w:szCs w:val="20"/>
                <w:rtl w:val="0"/>
              </w:rPr>
              <w:t xml:space="preserve"> Inmediatamente después de calentarla, intente pasar la esfera a través del aro. </w:t>
            </w:r>
            <w:r w:rsidDel="00000000" w:rsidR="00000000" w:rsidRPr="00000000">
              <w:rPr>
                <w:rFonts w:ascii="Arial" w:cs="Arial" w:eastAsia="Arial" w:hAnsi="Arial"/>
                <w:b w:val="1"/>
                <w:sz w:val="20"/>
                <w:szCs w:val="20"/>
                <w:rtl w:val="0"/>
              </w:rPr>
              <w:t xml:space="preserve">No la fuerce.</w:t>
            </w:r>
            <w:r w:rsidDel="00000000" w:rsidR="00000000" w:rsidRPr="00000000">
              <w:rPr>
                <w:rFonts w:ascii="Arial" w:cs="Arial" w:eastAsia="Arial" w:hAnsi="Arial"/>
                <w:sz w:val="20"/>
                <w:szCs w:val="20"/>
                <w:rtl w:val="0"/>
              </w:rPr>
              <w:t xml:space="preserve"> Observe y registre si la esfera atraviesa el aro.</w:t>
            </w:r>
          </w:p>
          <w:p w:rsidR="00000000" w:rsidDel="00000000" w:rsidP="00000000" w:rsidRDefault="00000000" w:rsidRPr="00000000" w14:paraId="000000AA">
            <w:pPr>
              <w:numPr>
                <w:ilvl w:val="0"/>
                <w:numId w:val="3"/>
              </w:numPr>
              <w:spacing w:after="0" w:afterAutospacing="0" w:before="0" w:beforeAutospacing="0" w:lineRule="auto"/>
              <w:ind w:left="72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Enfriamiento y Verificación Final:</w:t>
            </w:r>
            <w:r w:rsidDel="00000000" w:rsidR="00000000" w:rsidRPr="00000000">
              <w:rPr>
                <w:rFonts w:ascii="Arial" w:cs="Arial" w:eastAsia="Arial" w:hAnsi="Arial"/>
                <w:sz w:val="20"/>
                <w:szCs w:val="20"/>
                <w:rtl w:val="0"/>
              </w:rPr>
              <w:t xml:space="preserve"> Coloque la esfera caliente sobre una superficie cerámica o metálica resistente al calor y espere a que se enfríe por completo a temperatura ambiente. Una vez fría, verifique que vuelve a pasar por el aro.</w:t>
            </w:r>
          </w:p>
          <w:p w:rsidR="00000000" w:rsidDel="00000000" w:rsidP="00000000" w:rsidRDefault="00000000" w:rsidRPr="00000000" w14:paraId="000000AB">
            <w:pPr>
              <w:numPr>
                <w:ilvl w:val="0"/>
                <w:numId w:val="3"/>
              </w:numPr>
              <w:spacing w:after="240" w:before="0" w:beforeAutospacing="0" w:lineRule="auto"/>
              <w:ind w:left="72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Análisis:</w:t>
            </w:r>
            <w:r w:rsidDel="00000000" w:rsidR="00000000" w:rsidRPr="00000000">
              <w:rPr>
                <w:rFonts w:ascii="Arial" w:cs="Arial" w:eastAsia="Arial" w:hAnsi="Arial"/>
                <w:sz w:val="20"/>
                <w:szCs w:val="20"/>
                <w:rtl w:val="0"/>
              </w:rPr>
              <w:t xml:space="preserve"> Explique por qué la esfera caliente no atraviesa el aro. El calentamiento provoca un aumento en las tres dimensiones de la esfera (dilatación volumétrica), incrementando su diámetro total lo suficiente como para impedir su paso.</w:t>
            </w:r>
          </w:p>
          <w:p w:rsidR="00000000" w:rsidDel="00000000" w:rsidP="00000000" w:rsidRDefault="00000000" w:rsidRPr="00000000" w14:paraId="000000AC">
            <w:pPr>
              <w:spacing w:after="240" w:befor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Experimento 3: Transferencia de Calor en un Intercambiador Simple</w:t>
            </w:r>
          </w:p>
          <w:p w:rsidR="00000000" w:rsidDel="00000000" w:rsidP="00000000" w:rsidRDefault="00000000" w:rsidRPr="00000000" w14:paraId="000000AD">
            <w:pPr>
              <w:numPr>
                <w:ilvl w:val="0"/>
                <w:numId w:val="2"/>
              </w:numPr>
              <w:spacing w:after="0" w:afterAutospacing="0" w:before="240" w:lineRule="auto"/>
              <w:ind w:left="72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Montaje:</w:t>
            </w:r>
            <w:r w:rsidDel="00000000" w:rsidR="00000000" w:rsidRPr="00000000">
              <w:rPr>
                <w:rFonts w:ascii="Arial" w:cs="Arial" w:eastAsia="Arial" w:hAnsi="Arial"/>
                <w:sz w:val="20"/>
                <w:szCs w:val="20"/>
                <w:rtl w:val="0"/>
              </w:rPr>
              <w:t xml:space="preserve"> Configure el intercambiador de calor de tubos concéntricos. Prepare un recipiente con agua caliente y otro con agua a temperatura ambiente.</w:t>
            </w:r>
          </w:p>
          <w:p w:rsidR="00000000" w:rsidDel="00000000" w:rsidP="00000000" w:rsidRDefault="00000000" w:rsidRPr="00000000" w14:paraId="000000AE">
            <w:pPr>
              <w:numPr>
                <w:ilvl w:val="0"/>
                <w:numId w:val="2"/>
              </w:numPr>
              <w:spacing w:after="0" w:afterAutospacing="0" w:before="0" w:beforeAutospacing="0" w:lineRule="auto"/>
              <w:ind w:left="72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Medición Inicial:</w:t>
            </w:r>
            <w:r w:rsidDel="00000000" w:rsidR="00000000" w:rsidRPr="00000000">
              <w:rPr>
                <w:rFonts w:ascii="Arial" w:cs="Arial" w:eastAsia="Arial" w:hAnsi="Arial"/>
                <w:sz w:val="20"/>
                <w:szCs w:val="20"/>
                <w:rtl w:val="0"/>
              </w:rPr>
              <w:t xml:space="preserve"> Mida y registre las temperaturas iniciales de ambos fluidos en sus respectivos recipientes: Tcaliente,entrada​ y Tfrıˊa,entrada​.</w:t>
            </w:r>
          </w:p>
          <w:p w:rsidR="00000000" w:rsidDel="00000000" w:rsidP="00000000" w:rsidRDefault="00000000" w:rsidRPr="00000000" w14:paraId="000000AF">
            <w:pPr>
              <w:numPr>
                <w:ilvl w:val="0"/>
                <w:numId w:val="2"/>
              </w:numPr>
              <w:spacing w:after="0" w:afterAutospacing="0" w:before="0" w:beforeAutospacing="0" w:lineRule="auto"/>
              <w:ind w:left="72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Flujo Paralelo:</w:t>
            </w:r>
            <w:r w:rsidDel="00000000" w:rsidR="00000000" w:rsidRPr="00000000">
              <w:rPr>
                <w:rFonts w:ascii="Arial" w:cs="Arial" w:eastAsia="Arial" w:hAnsi="Arial"/>
                <w:sz w:val="20"/>
                <w:szCs w:val="20"/>
                <w:rtl w:val="0"/>
              </w:rPr>
              <w:t xml:space="preserve"> Conecte las mangueras para que ambos fluidos entren por el mismo extremo del intercambiador y salgan por el extremo opuesto (flujo en paralelo). Inicie el flujo de ambos fluidos.</w:t>
            </w:r>
          </w:p>
          <w:p w:rsidR="00000000" w:rsidDel="00000000" w:rsidP="00000000" w:rsidRDefault="00000000" w:rsidRPr="00000000" w14:paraId="000000B0">
            <w:pPr>
              <w:numPr>
                <w:ilvl w:val="0"/>
                <w:numId w:val="2"/>
              </w:numPr>
              <w:spacing w:after="0" w:afterAutospacing="0" w:before="0" w:beforeAutospacing="0" w:lineRule="auto"/>
              <w:ind w:left="72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Medición en Estado Estable:</w:t>
            </w:r>
            <w:r w:rsidDel="00000000" w:rsidR="00000000" w:rsidRPr="00000000">
              <w:rPr>
                <w:rFonts w:ascii="Arial" w:cs="Arial" w:eastAsia="Arial" w:hAnsi="Arial"/>
                <w:sz w:val="20"/>
                <w:szCs w:val="20"/>
                <w:rtl w:val="0"/>
              </w:rPr>
              <w:t xml:space="preserve"> Deje que el sistema funcione durante 1-2 minutos para alcanzar un estado relativamente estable. Mida y registre simultáneamente las temperaturas de ambos fluidos a la salida del intercambiador: Tcaliente,salida​ y Tfrıˊa,salida​.</w:t>
            </w:r>
          </w:p>
          <w:p w:rsidR="00000000" w:rsidDel="00000000" w:rsidP="00000000" w:rsidRDefault="00000000" w:rsidRPr="00000000" w14:paraId="000000B1">
            <w:pPr>
              <w:numPr>
                <w:ilvl w:val="0"/>
                <w:numId w:val="2"/>
              </w:numPr>
              <w:spacing w:after="240" w:before="0" w:beforeAutospacing="0" w:lineRule="auto"/>
              <w:ind w:left="72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Análisis:</w:t>
            </w:r>
            <w:r w:rsidDel="00000000" w:rsidR="00000000" w:rsidRPr="00000000">
              <w:rPr>
                <w:rFonts w:ascii="Arial" w:cs="Arial" w:eastAsia="Arial" w:hAnsi="Arial"/>
                <w:sz w:val="20"/>
                <w:szCs w:val="20"/>
                <w:rtl w:val="0"/>
              </w:rPr>
              <w:t xml:space="preserve"> Compare las temperaturas de entrada y salida para cada fluido. El agua caliente debería enfriarse (Tcaliente,salida​&lt;Tcaliente,entrada​) y el agua fría debería calentarse (Tfrıa,salida​&gt;Tfrıa,entrada​), demostrando que ha ocurrido una transferencia de energía térmica desde el fluido caliente hacia el frío a través de la pared del tubo interior.</w:t>
            </w:r>
          </w:p>
        </w:tc>
      </w:tr>
      <w:tr>
        <w:trPr>
          <w:cantSplit w:val="0"/>
          <w:tblHeader w:val="0"/>
        </w:trPr>
        <w:tc>
          <w:tcPr>
            <w:shd w:fill="00d2c5" w:val="clear"/>
          </w:tcPr>
          <w:p w:rsidR="00000000" w:rsidDel="00000000" w:rsidP="00000000" w:rsidRDefault="00000000" w:rsidRPr="00000000" w14:paraId="000000B2">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i w:val="0"/>
                <w:smallCaps w:val="0"/>
                <w:strike w:val="0"/>
                <w:sz w:val="20"/>
                <w:szCs w:val="20"/>
                <w:shd w:fill="auto" w:val="clear"/>
                <w:vertAlign w:val="baseline"/>
              </w:rPr>
            </w:pPr>
            <w:r w:rsidDel="00000000" w:rsidR="00000000" w:rsidRPr="00000000">
              <w:rPr>
                <w:rFonts w:ascii="Arial" w:cs="Arial" w:eastAsia="Arial" w:hAnsi="Arial"/>
                <w:b w:val="1"/>
                <w:i w:val="0"/>
                <w:smallCaps w:val="0"/>
                <w:strike w:val="0"/>
                <w:sz w:val="20"/>
                <w:szCs w:val="20"/>
                <w:u w:val="none"/>
                <w:shd w:fill="auto" w:val="clear"/>
                <w:vertAlign w:val="baseline"/>
                <w:rtl w:val="0"/>
              </w:rPr>
              <w:t xml:space="preserve">BIBLIOGRAFÍA</w:t>
            </w:r>
            <w:r w:rsidDel="00000000" w:rsidR="00000000" w:rsidRPr="00000000">
              <w:rPr>
                <w:rtl w:val="0"/>
              </w:rPr>
            </w:r>
          </w:p>
        </w:tc>
      </w:tr>
      <w:tr>
        <w:trPr>
          <w:cantSplit w:val="0"/>
          <w:tblHeader w:val="0"/>
        </w:trPr>
        <w:tc>
          <w:tcPr/>
          <w:p w:rsidR="00000000" w:rsidDel="00000000" w:rsidP="00000000" w:rsidRDefault="00000000" w:rsidRPr="00000000" w14:paraId="000000B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Cengel, Y. A., &amp; Ghajar, A. J. (2007). </w:t>
            </w:r>
            <w:r w:rsidDel="00000000" w:rsidR="00000000" w:rsidRPr="00000000">
              <w:rPr>
                <w:rFonts w:ascii="Arial" w:cs="Arial" w:eastAsia="Arial" w:hAnsi="Arial"/>
                <w:i w:val="1"/>
                <w:sz w:val="20"/>
                <w:szCs w:val="20"/>
                <w:rtl w:val="0"/>
              </w:rPr>
              <w:t xml:space="preserve">Transferencia de calor y masa: Un enfoque práctico</w:t>
            </w:r>
            <w:r w:rsidDel="00000000" w:rsidR="00000000" w:rsidRPr="00000000">
              <w:rPr>
                <w:rFonts w:ascii="Arial" w:cs="Arial" w:eastAsia="Arial" w:hAnsi="Arial"/>
                <w:sz w:val="20"/>
                <w:szCs w:val="20"/>
                <w:rtl w:val="0"/>
              </w:rPr>
              <w:t xml:space="preserve">. McGraw-Hill.</w:t>
            </w:r>
          </w:p>
          <w:p w:rsidR="00000000" w:rsidDel="00000000" w:rsidP="00000000" w:rsidRDefault="00000000" w:rsidRPr="00000000" w14:paraId="000000B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Halliday, D., Resnick, R., &amp; Walker, J. (2013). </w:t>
            </w:r>
            <w:r w:rsidDel="00000000" w:rsidR="00000000" w:rsidRPr="00000000">
              <w:rPr>
                <w:rFonts w:ascii="Arial" w:cs="Arial" w:eastAsia="Arial" w:hAnsi="Arial"/>
                <w:i w:val="1"/>
                <w:sz w:val="20"/>
                <w:szCs w:val="20"/>
                <w:rtl w:val="0"/>
              </w:rPr>
              <w:t xml:space="preserve">Fundamentals of Physics</w:t>
            </w:r>
            <w:r w:rsidDel="00000000" w:rsidR="00000000" w:rsidRPr="00000000">
              <w:rPr>
                <w:rFonts w:ascii="Arial" w:cs="Arial" w:eastAsia="Arial" w:hAnsi="Arial"/>
                <w:sz w:val="20"/>
                <w:szCs w:val="20"/>
                <w:rtl w:val="0"/>
              </w:rPr>
              <w:t xml:space="preserve">. John Wiley &amp; Sons.</w:t>
            </w:r>
          </w:p>
          <w:p w:rsidR="00000000" w:rsidDel="00000000" w:rsidP="00000000" w:rsidRDefault="00000000" w:rsidRPr="00000000" w14:paraId="000000B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Serway, R. A., &amp; Jewett, J. W. (2015). </w:t>
            </w:r>
            <w:r w:rsidDel="00000000" w:rsidR="00000000" w:rsidRPr="00000000">
              <w:rPr>
                <w:rFonts w:ascii="Arial" w:cs="Arial" w:eastAsia="Arial" w:hAnsi="Arial"/>
                <w:i w:val="1"/>
                <w:sz w:val="20"/>
                <w:szCs w:val="20"/>
                <w:rtl w:val="0"/>
              </w:rPr>
              <w:t xml:space="preserve">Física para ciencias e ingeniería</w:t>
            </w:r>
            <w:r w:rsidDel="00000000" w:rsidR="00000000" w:rsidRPr="00000000">
              <w:rPr>
                <w:rFonts w:ascii="Arial" w:cs="Arial" w:eastAsia="Arial" w:hAnsi="Arial"/>
                <w:sz w:val="20"/>
                <w:szCs w:val="20"/>
                <w:rtl w:val="0"/>
              </w:rPr>
              <w:t xml:space="preserve">. Cengage Learning.</w:t>
            </w:r>
          </w:p>
          <w:p w:rsidR="00000000" w:rsidDel="00000000" w:rsidP="00000000" w:rsidRDefault="00000000" w:rsidRPr="00000000" w14:paraId="000000B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B7">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8">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9">
            <w:pPr>
              <w:jc w:val="both"/>
              <w:rPr>
                <w:rFonts w:ascii="Arial" w:cs="Arial" w:eastAsia="Arial" w:hAnsi="Arial"/>
                <w:sz w:val="20"/>
                <w:szCs w:val="20"/>
              </w:rPr>
            </w:pPr>
            <w:r w:rsidDel="00000000" w:rsidR="00000000" w:rsidRPr="00000000">
              <w:rPr>
                <w:rtl w:val="0"/>
              </w:rPr>
            </w:r>
          </w:p>
        </w:tc>
      </w:tr>
      <w:tr>
        <w:trPr>
          <w:cantSplit w:val="0"/>
          <w:tblHeader w:val="0"/>
        </w:trPr>
        <w:tc>
          <w:tcPr>
            <w:shd w:fill="00d2c5" w:val="clear"/>
          </w:tcPr>
          <w:p w:rsidR="00000000" w:rsidDel="00000000" w:rsidP="00000000" w:rsidRDefault="00000000" w:rsidRPr="00000000" w14:paraId="000000BA">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rial" w:cs="Arial" w:eastAsia="Arial" w:hAnsi="Arial"/>
                <w:b w:val="1"/>
                <w:i w:val="0"/>
                <w:smallCaps w:val="0"/>
                <w:strike w:val="0"/>
                <w:sz w:val="20"/>
                <w:szCs w:val="20"/>
                <w:shd w:fill="auto" w:val="clear"/>
                <w:vertAlign w:val="baseline"/>
              </w:rPr>
            </w:pPr>
            <w:r w:rsidDel="00000000" w:rsidR="00000000" w:rsidRPr="00000000">
              <w:rPr>
                <w:rFonts w:ascii="Arial" w:cs="Arial" w:eastAsia="Arial" w:hAnsi="Arial"/>
                <w:b w:val="1"/>
                <w:i w:val="0"/>
                <w:smallCaps w:val="0"/>
                <w:strike w:val="0"/>
                <w:sz w:val="20"/>
                <w:szCs w:val="20"/>
                <w:u w:val="none"/>
                <w:shd w:fill="auto" w:val="clear"/>
                <w:vertAlign w:val="baseline"/>
                <w:rtl w:val="0"/>
              </w:rPr>
              <w:t xml:space="preserve">ANEXOS</w:t>
            </w:r>
            <w:r w:rsidDel="00000000" w:rsidR="00000000" w:rsidRPr="00000000">
              <w:rPr>
                <w:rtl w:val="0"/>
              </w:rPr>
            </w:r>
          </w:p>
        </w:tc>
      </w:tr>
      <w:tr>
        <w:trPr>
          <w:cantSplit w:val="0"/>
          <w:trHeight w:val="491" w:hRule="atLeast"/>
          <w:tblHeader w:val="0"/>
        </w:trPr>
        <w:tc>
          <w:tcPr>
            <w:shd w:fill="auto" w:val="clear"/>
          </w:tcPr>
          <w:p w:rsidR="00000000" w:rsidDel="00000000" w:rsidP="00000000" w:rsidRDefault="00000000" w:rsidRPr="00000000" w14:paraId="000000BB">
            <w:pPr>
              <w:jc w:val="both"/>
              <w:rPr>
                <w:rFonts w:ascii="Arial" w:cs="Arial" w:eastAsia="Arial" w:hAnsi="Arial"/>
                <w:b w:val="1"/>
                <w:sz w:val="20"/>
                <w:szCs w:val="20"/>
              </w:rPr>
            </w:pPr>
            <w:r w:rsidDel="00000000" w:rsidR="00000000" w:rsidRPr="00000000">
              <w:rPr>
                <w:rtl w:val="0"/>
              </w:rPr>
            </w:r>
          </w:p>
        </w:tc>
      </w:tr>
    </w:tbl>
    <w:p w:rsidR="00000000" w:rsidDel="00000000" w:rsidP="00000000" w:rsidRDefault="00000000" w:rsidRPr="00000000" w14:paraId="000000BC">
      <w:pPr>
        <w:jc w:val="both"/>
        <w:rPr>
          <w:rFonts w:ascii="Arial" w:cs="Arial" w:eastAsia="Arial" w:hAnsi="Arial"/>
          <w:sz w:val="20"/>
          <w:szCs w:val="20"/>
        </w:rPr>
      </w:pPr>
      <w:r w:rsidDel="00000000" w:rsidR="00000000" w:rsidRPr="00000000">
        <w:rPr>
          <w:rtl w:val="0"/>
        </w:rPr>
      </w:r>
    </w:p>
    <w:sectPr>
      <w:headerReference r:id="rId7" w:type="default"/>
      <w:footerReference r:id="rId8" w:type="default"/>
      <w:pgSz w:h="15840" w:w="12240" w:orient="portrait"/>
      <w:pgMar w:bottom="993" w:top="1417" w:left="1701" w:right="1701" w:header="284" w:footer="16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0">
    <w:pPr>
      <w:pBdr>
        <w:top w:space="0" w:sz="0" w:val="nil"/>
        <w:left w:space="0" w:sz="0" w:val="nil"/>
        <w:bottom w:space="0" w:sz="0" w:val="nil"/>
        <w:right w:space="0" w:sz="0" w:val="nil"/>
        <w:between w:space="0" w:sz="0" w:val="nil"/>
      </w:pBdr>
      <w:tabs>
        <w:tab w:val="center" w:leader="none" w:pos="4419"/>
        <w:tab w:val="right" w:leader="none" w:pos="8838"/>
      </w:tabs>
      <w:spacing w:after="0" w:lineRule="auto"/>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CORPORACIÓN UNIVERSITARIA DEL HUILA CORHUILA, INSTITUCIÓN UNIVERSITARIA VIGILADA MINEDUCACIÓN</w:t>
    </w:r>
  </w:p>
  <w:p w:rsidR="00000000" w:rsidDel="00000000" w:rsidP="00000000" w:rsidRDefault="00000000" w:rsidRPr="00000000" w14:paraId="000000D1">
    <w:pPr>
      <w:pBdr>
        <w:top w:space="0" w:sz="0" w:val="nil"/>
        <w:left w:space="0" w:sz="0" w:val="nil"/>
        <w:bottom w:space="0" w:sz="0" w:val="nil"/>
        <w:right w:space="0" w:sz="0" w:val="nil"/>
        <w:between w:space="0" w:sz="0" w:val="nil"/>
      </w:pBdr>
      <w:tabs>
        <w:tab w:val="center" w:leader="none" w:pos="4419"/>
        <w:tab w:val="right" w:leader="none" w:pos="8838"/>
      </w:tabs>
      <w:spacing w:after="0" w:lineRule="auto"/>
      <w:jc w:val="center"/>
      <w:rPr/>
    </w:pPr>
    <w:r w:rsidDel="00000000" w:rsidR="00000000" w:rsidRPr="00000000">
      <w:rPr>
        <w:rFonts w:ascii="Arial" w:cs="Arial" w:eastAsia="Arial" w:hAnsi="Arial"/>
        <w:b w:val="1"/>
        <w:color w:val="000000"/>
        <w:sz w:val="14"/>
        <w:szCs w:val="14"/>
        <w:rtl w:val="0"/>
      </w:rPr>
      <w:t xml:space="preserve">Personería Jurídica Res. Ministerio de Educación No. 21000 de diciembre 22 de 1989</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bl>
    <w:tblPr>
      <w:tblStyle w:val="Table5"/>
      <w:tblW w:w="963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55"/>
      <w:gridCol w:w="2551"/>
      <w:gridCol w:w="1276"/>
      <w:gridCol w:w="2126"/>
      <w:gridCol w:w="2131"/>
      <w:tblGridChange w:id="0">
        <w:tblGrid>
          <w:gridCol w:w="1555"/>
          <w:gridCol w:w="2551"/>
          <w:gridCol w:w="1276"/>
          <w:gridCol w:w="2126"/>
          <w:gridCol w:w="2131"/>
        </w:tblGrid>
      </w:tblGridChange>
    </w:tblGrid>
    <w:tr>
      <w:trPr>
        <w:cantSplit w:val="0"/>
        <w:trHeight w:val="113" w:hRule="atLeast"/>
        <w:tblHeader w:val="0"/>
      </w:trPr>
      <w:tc>
        <w:tcPr>
          <w:vMerge w:val="restart"/>
          <w:tcBorders>
            <w:bottom w:color="000000" w:space="0" w:sz="4" w:val="single"/>
          </w:tcBorders>
          <w:shd w:fill="auto" w:val="clear"/>
          <w:vAlign w:val="center"/>
        </w:tcPr>
        <w:p w:rsidR="00000000" w:rsidDel="00000000" w:rsidP="00000000" w:rsidRDefault="00000000" w:rsidRPr="00000000" w14:paraId="000000BE">
          <w:pPr>
            <w:spacing w:after="0" w:lineRule="auto"/>
            <w:rPr/>
          </w:pPr>
          <w:r w:rsidDel="00000000" w:rsidR="00000000" w:rsidRPr="00000000">
            <w:rPr/>
            <w:drawing>
              <wp:inline distB="0" distT="0" distL="114300" distR="114300">
                <wp:extent cx="704850" cy="621926"/>
                <wp:effectExtent b="0" l="0" r="0" t="0"/>
                <wp:docPr descr="CORHUILA COLOR" id="1063334736" name="image1.png"/>
                <a:graphic>
                  <a:graphicData uri="http://schemas.openxmlformats.org/drawingml/2006/picture">
                    <pic:pic>
                      <pic:nvPicPr>
                        <pic:cNvPr descr="CORHUILA COLOR" id="0" name="image1.png"/>
                        <pic:cNvPicPr preferRelativeResize="0"/>
                      </pic:nvPicPr>
                      <pic:blipFill>
                        <a:blip r:embed="rId1"/>
                        <a:srcRect b="0" l="0" r="0" t="0"/>
                        <a:stretch>
                          <a:fillRect/>
                        </a:stretch>
                      </pic:blipFill>
                      <pic:spPr>
                        <a:xfrm>
                          <a:off x="0" y="0"/>
                          <a:ext cx="704850" cy="621926"/>
                        </a:xfrm>
                        <a:prstGeom prst="rect"/>
                        <a:ln/>
                      </pic:spPr>
                    </pic:pic>
                  </a:graphicData>
                </a:graphic>
              </wp:inline>
            </w:drawing>
          </w:r>
          <w:r w:rsidDel="00000000" w:rsidR="00000000" w:rsidRPr="00000000">
            <w:rPr>
              <w:rtl w:val="0"/>
            </w:rPr>
          </w:r>
        </w:p>
      </w:tc>
      <w:tc>
        <w:tcPr>
          <w:gridSpan w:val="4"/>
          <w:tcBorders>
            <w:bottom w:color="000000" w:space="0" w:sz="4" w:val="single"/>
          </w:tcBorders>
          <w:shd w:fill="auto" w:val="clear"/>
          <w:vAlign w:val="center"/>
        </w:tcPr>
        <w:p w:rsidR="00000000" w:rsidDel="00000000" w:rsidP="00000000" w:rsidRDefault="00000000" w:rsidRPr="00000000" w14:paraId="000000BF">
          <w:pPr>
            <w:spacing w:after="0" w:lineRule="auto"/>
            <w:jc w:val="center"/>
            <w:rPr>
              <w:rFonts w:ascii="Arial" w:cs="Arial" w:eastAsia="Arial" w:hAnsi="Arial"/>
              <w:b w:val="1"/>
            </w:rPr>
          </w:pPr>
          <w:r w:rsidDel="00000000" w:rsidR="00000000" w:rsidRPr="00000000">
            <w:rPr>
              <w:rFonts w:ascii="Arial" w:cs="Arial" w:eastAsia="Arial" w:hAnsi="Arial"/>
              <w:b w:val="1"/>
              <w:sz w:val="16"/>
              <w:szCs w:val="16"/>
              <w:rtl w:val="0"/>
            </w:rPr>
            <w:t xml:space="preserve">GESTIÓN DOCENCIA</w:t>
          </w:r>
          <w:r w:rsidDel="00000000" w:rsidR="00000000" w:rsidRPr="00000000">
            <w:rPr>
              <w:rtl w:val="0"/>
            </w:rPr>
          </w:r>
        </w:p>
      </w:tc>
    </w:tr>
    <w:tr>
      <w:trPr>
        <w:cantSplit w:val="0"/>
        <w:trHeight w:val="680" w:hRule="atLeast"/>
        <w:tblHeader w:val="0"/>
      </w:trPr>
      <w:tc>
        <w:tcPr>
          <w:vMerge w:val="continue"/>
          <w:tcBorders>
            <w:bottom w:color="000000" w:space="0" w:sz="4" w:val="single"/>
          </w:tcBorders>
          <w:shd w:fill="auto" w:val="clear"/>
          <w:vAlign w:val="center"/>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rPr>
          </w:pPr>
          <w:r w:rsidDel="00000000" w:rsidR="00000000" w:rsidRPr="00000000">
            <w:rPr>
              <w:rtl w:val="0"/>
            </w:rPr>
          </w:r>
        </w:p>
      </w:tc>
      <w:tc>
        <w:tcPr>
          <w:gridSpan w:val="4"/>
          <w:tcBorders>
            <w:bottom w:color="000000" w:space="0" w:sz="4" w:val="single"/>
          </w:tcBorders>
          <w:shd w:fill="auto" w:val="clear"/>
          <w:vAlign w:val="center"/>
        </w:tcPr>
        <w:p w:rsidR="00000000" w:rsidDel="00000000" w:rsidP="00000000" w:rsidRDefault="00000000" w:rsidRPr="00000000" w14:paraId="000000C4">
          <w:pPr>
            <w:widowControl w:val="0"/>
            <w:pBdr>
              <w:top w:space="0" w:sz="0" w:val="nil"/>
              <w:left w:space="0" w:sz="0" w:val="nil"/>
              <w:bottom w:space="0" w:sz="0" w:val="nil"/>
              <w:right w:space="0" w:sz="0" w:val="nil"/>
              <w:between w:space="0" w:sz="0" w:val="nil"/>
            </w:pBdr>
            <w:spacing w:after="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spacing w:after="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GUIA PARA PRÁCTICAS DE LABORATORIO Y TALLER</w:t>
          </w:r>
        </w:p>
        <w:p w:rsidR="00000000" w:rsidDel="00000000" w:rsidP="00000000" w:rsidRDefault="00000000" w:rsidRPr="00000000" w14:paraId="000000C6">
          <w:pPr>
            <w:widowControl w:val="0"/>
            <w:pBdr>
              <w:top w:space="0" w:sz="0" w:val="nil"/>
              <w:left w:space="0" w:sz="0" w:val="nil"/>
              <w:bottom w:space="0" w:sz="0" w:val="nil"/>
              <w:right w:space="0" w:sz="0" w:val="nil"/>
              <w:between w:space="0" w:sz="0" w:val="nil"/>
            </w:pBdr>
            <w:spacing w:after="0" w:lineRule="auto"/>
            <w:jc w:val="center"/>
            <w:rPr>
              <w:rFonts w:ascii="Arial" w:cs="Arial" w:eastAsia="Arial" w:hAnsi="Arial"/>
              <w:b w:val="1"/>
              <w:sz w:val="24"/>
              <w:szCs w:val="24"/>
            </w:rPr>
          </w:pPr>
          <w:r w:rsidDel="00000000" w:rsidR="00000000" w:rsidRPr="00000000">
            <w:rPr>
              <w:rtl w:val="0"/>
            </w:rPr>
          </w:r>
        </w:p>
      </w:tc>
    </w:tr>
    <w:tr>
      <w:trPr>
        <w:cantSplit w:val="0"/>
        <w:trHeight w:val="70" w:hRule="atLeast"/>
        <w:tblHeader w:val="0"/>
      </w:trPr>
      <w:tc>
        <w:tcPr>
          <w:vMerge w:val="continue"/>
          <w:tcBorders>
            <w:bottom w:color="000000" w:space="0" w:sz="4" w:val="single"/>
          </w:tcBorders>
          <w:shd w:fill="auto" w:val="clear"/>
          <w:vAlign w:val="center"/>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spacing w:after="0"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CÓDIGO: FO-GD-LB-153</w:t>
          </w:r>
        </w:p>
      </w:tc>
      <w:tc>
        <w:tcPr>
          <w:shd w:fill="auto" w:val="clear"/>
          <w:vAlign w:val="center"/>
        </w:tcPr>
        <w:p w:rsidR="00000000" w:rsidDel="00000000" w:rsidP="00000000" w:rsidRDefault="00000000" w:rsidRPr="00000000" w14:paraId="000000CC">
          <w:pPr>
            <w:widowControl w:val="0"/>
            <w:pBdr>
              <w:top w:space="0" w:sz="0" w:val="nil"/>
              <w:left w:space="0" w:sz="0" w:val="nil"/>
              <w:bottom w:space="0" w:sz="0" w:val="nil"/>
              <w:right w:space="0" w:sz="0" w:val="nil"/>
              <w:between w:space="0" w:sz="0" w:val="nil"/>
            </w:pBdr>
            <w:spacing w:after="0"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VERSIÓN: 01</w:t>
          </w:r>
        </w:p>
      </w:tc>
      <w:tc>
        <w:tcPr>
          <w:shd w:fill="auto" w:val="clear"/>
          <w:vAlign w:val="center"/>
        </w:tcPr>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spacing w:after="0"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VIGENCIA: 2025-05-12</w:t>
          </w:r>
        </w:p>
      </w:tc>
      <w:tc>
        <w:tcPr>
          <w:shd w:fill="auto" w:val="clear"/>
          <w:vAlign w:val="center"/>
        </w:tcPr>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spacing w:after="0" w:line="276"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Página </w:t>
          </w:r>
          <w:r w:rsidDel="00000000" w:rsidR="00000000" w:rsidRPr="00000000">
            <w:rPr>
              <w:rFonts w:ascii="Arial" w:cs="Arial" w:eastAsia="Arial" w:hAnsi="Arial"/>
              <w:b w:val="1"/>
              <w:sz w:val="16"/>
              <w:szCs w:val="16"/>
            </w:rPr>
            <w:fldChar w:fldCharType="begin"/>
            <w:instrText xml:space="preserve">PAGE</w:instrText>
            <w:fldChar w:fldCharType="separate"/>
            <w:fldChar w:fldCharType="end"/>
          </w:r>
          <w:r w:rsidDel="00000000" w:rsidR="00000000" w:rsidRPr="00000000">
            <w:rPr>
              <w:rFonts w:ascii="Arial" w:cs="Arial" w:eastAsia="Arial" w:hAnsi="Arial"/>
              <w:b w:val="1"/>
              <w:sz w:val="16"/>
              <w:szCs w:val="16"/>
              <w:rtl w:val="0"/>
            </w:rPr>
            <w:t xml:space="preserve"> de </w:t>
          </w:r>
          <w:r w:rsidDel="00000000" w:rsidR="00000000" w:rsidRPr="00000000">
            <w:rPr>
              <w:rFonts w:ascii="Arial" w:cs="Arial" w:eastAsia="Arial" w:hAnsi="Arial"/>
              <w:b w:val="1"/>
              <w:sz w:val="16"/>
              <w:szCs w:val="16"/>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Ttulo7">
    <w:name w:val="heading 7"/>
    <w:basedOn w:val="Normal"/>
    <w:next w:val="Normal"/>
    <w:link w:val="Ttulo7Car"/>
    <w:uiPriority w:val="9"/>
    <w:semiHidden w:val="1"/>
    <w:unhideWhenUsed w:val="1"/>
    <w:qFormat w:val="1"/>
    <w:rsid w:val="0074249F"/>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semiHidden w:val="1"/>
    <w:unhideWhenUsed w:val="1"/>
    <w:qFormat w:val="1"/>
    <w:rsid w:val="0074249F"/>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ar"/>
    <w:uiPriority w:val="9"/>
    <w:semiHidden w:val="1"/>
    <w:unhideWhenUsed w:val="1"/>
    <w:qFormat w:val="1"/>
    <w:rsid w:val="0074249F"/>
    <w:pPr>
      <w:keepNext w:val="1"/>
      <w:keepLines w:val="1"/>
      <w:spacing w:after="0"/>
      <w:outlineLvl w:val="8"/>
    </w:pPr>
    <w:rPr>
      <w:rFonts w:cstheme="majorBidi" w:eastAsiaTheme="majorEastAsia"/>
      <w:color w:val="272727" w:themeColor="text1" w:themeTint="0000D8"/>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74249F"/>
    <w:rPr>
      <w:rFonts w:asciiTheme="majorHAnsi" w:cstheme="majorBidi" w:eastAsiaTheme="majorEastAsia" w:hAnsiTheme="majorHAnsi"/>
      <w:color w:val="2f5496" w:themeColor="accent1" w:themeShade="0000BF"/>
      <w:sz w:val="40"/>
      <w:szCs w:val="40"/>
    </w:rPr>
  </w:style>
  <w:style w:type="character" w:styleId="Ttulo2Car" w:customStyle="1">
    <w:name w:val="Título 2 Car"/>
    <w:basedOn w:val="Fuentedeprrafopredeter"/>
    <w:link w:val="Ttulo2"/>
    <w:uiPriority w:val="9"/>
    <w:semiHidden w:val="1"/>
    <w:rsid w:val="0074249F"/>
    <w:rPr>
      <w:rFonts w:asciiTheme="majorHAnsi" w:cstheme="majorBidi" w:eastAsiaTheme="majorEastAsia" w:hAnsiTheme="majorHAnsi"/>
      <w:color w:val="2f5496" w:themeColor="accent1" w:themeShade="0000BF"/>
      <w:sz w:val="32"/>
      <w:szCs w:val="32"/>
    </w:rPr>
  </w:style>
  <w:style w:type="character" w:styleId="Ttulo3Car" w:customStyle="1">
    <w:name w:val="Título 3 Car"/>
    <w:basedOn w:val="Fuentedeprrafopredeter"/>
    <w:link w:val="Ttulo3"/>
    <w:uiPriority w:val="9"/>
    <w:semiHidden w:val="1"/>
    <w:rsid w:val="0074249F"/>
    <w:rPr>
      <w:rFonts w:cstheme="majorBidi" w:eastAsiaTheme="majorEastAsia"/>
      <w:color w:val="2f5496" w:themeColor="accent1" w:themeShade="0000BF"/>
      <w:sz w:val="28"/>
      <w:szCs w:val="28"/>
    </w:rPr>
  </w:style>
  <w:style w:type="character" w:styleId="Ttulo4Car" w:customStyle="1">
    <w:name w:val="Título 4 Car"/>
    <w:basedOn w:val="Fuentedeprrafopredeter"/>
    <w:link w:val="Ttulo4"/>
    <w:uiPriority w:val="9"/>
    <w:semiHidden w:val="1"/>
    <w:rsid w:val="0074249F"/>
    <w:rPr>
      <w:rFonts w:cstheme="majorBidi" w:eastAsiaTheme="majorEastAsia"/>
      <w:i w:val="1"/>
      <w:iCs w:val="1"/>
      <w:color w:val="2f5496" w:themeColor="accent1" w:themeShade="0000BF"/>
    </w:rPr>
  </w:style>
  <w:style w:type="character" w:styleId="Ttulo5Car" w:customStyle="1">
    <w:name w:val="Título 5 Car"/>
    <w:basedOn w:val="Fuentedeprrafopredeter"/>
    <w:link w:val="Ttulo5"/>
    <w:uiPriority w:val="9"/>
    <w:semiHidden w:val="1"/>
    <w:rsid w:val="0074249F"/>
    <w:rPr>
      <w:rFonts w:cstheme="majorBidi" w:eastAsiaTheme="majorEastAsia"/>
      <w:color w:val="2f5496" w:themeColor="accent1" w:themeShade="0000BF"/>
    </w:rPr>
  </w:style>
  <w:style w:type="character" w:styleId="Ttulo6Car" w:customStyle="1">
    <w:name w:val="Título 6 Car"/>
    <w:basedOn w:val="Fuentedeprrafopredeter"/>
    <w:link w:val="Ttulo6"/>
    <w:uiPriority w:val="9"/>
    <w:semiHidden w:val="1"/>
    <w:rsid w:val="0074249F"/>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74249F"/>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74249F"/>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74249F"/>
    <w:rPr>
      <w:rFonts w:cstheme="majorBidi" w:eastAsiaTheme="majorEastAsia"/>
      <w:color w:val="272727" w:themeColor="text1" w:themeTint="0000D8"/>
    </w:rPr>
  </w:style>
  <w:style w:type="character" w:styleId="TtuloCar" w:customStyle="1">
    <w:name w:val="Título Car"/>
    <w:basedOn w:val="Fuentedeprrafopredeter"/>
    <w:link w:val="Ttulo"/>
    <w:uiPriority w:val="10"/>
    <w:rsid w:val="0074249F"/>
    <w:rPr>
      <w:rFonts w:asciiTheme="majorHAnsi" w:cstheme="majorBidi" w:eastAsiaTheme="majorEastAsia" w:hAnsiTheme="majorHAnsi"/>
      <w:spacing w:val="-10"/>
      <w:kern w:val="28"/>
      <w:sz w:val="56"/>
      <w:szCs w:val="56"/>
    </w:rPr>
  </w:style>
  <w:style w:type="character" w:styleId="SubttuloCar" w:customStyle="1">
    <w:name w:val="Subtítulo Car"/>
    <w:basedOn w:val="Fuentedeprrafopredeter"/>
    <w:link w:val="Subttulo"/>
    <w:uiPriority w:val="11"/>
    <w:rsid w:val="0074249F"/>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74249F"/>
    <w:pPr>
      <w:spacing w:before="160"/>
      <w:jc w:val="center"/>
    </w:pPr>
    <w:rPr>
      <w:i w:val="1"/>
      <w:iCs w:val="1"/>
      <w:color w:val="404040" w:themeColor="text1" w:themeTint="0000BF"/>
    </w:rPr>
  </w:style>
  <w:style w:type="character" w:styleId="CitaCar" w:customStyle="1">
    <w:name w:val="Cita Car"/>
    <w:basedOn w:val="Fuentedeprrafopredeter"/>
    <w:link w:val="Cita"/>
    <w:uiPriority w:val="29"/>
    <w:rsid w:val="0074249F"/>
    <w:rPr>
      <w:i w:val="1"/>
      <w:iCs w:val="1"/>
      <w:color w:val="404040" w:themeColor="text1" w:themeTint="0000BF"/>
    </w:rPr>
  </w:style>
  <w:style w:type="paragraph" w:styleId="Prrafodelista">
    <w:name w:val="List Paragraph"/>
    <w:basedOn w:val="Normal"/>
    <w:uiPriority w:val="34"/>
    <w:qFormat w:val="1"/>
    <w:rsid w:val="0074249F"/>
    <w:pPr>
      <w:ind w:left="720"/>
      <w:contextualSpacing w:val="1"/>
    </w:pPr>
  </w:style>
  <w:style w:type="character" w:styleId="nfasisintenso">
    <w:name w:val="Intense Emphasis"/>
    <w:basedOn w:val="Fuentedeprrafopredeter"/>
    <w:uiPriority w:val="21"/>
    <w:qFormat w:val="1"/>
    <w:rsid w:val="0074249F"/>
    <w:rPr>
      <w:i w:val="1"/>
      <w:iCs w:val="1"/>
      <w:color w:val="2f5496" w:themeColor="accent1" w:themeShade="0000BF"/>
    </w:rPr>
  </w:style>
  <w:style w:type="paragraph" w:styleId="Citadestacada">
    <w:name w:val="Intense Quote"/>
    <w:basedOn w:val="Normal"/>
    <w:next w:val="Normal"/>
    <w:link w:val="CitadestacadaCar"/>
    <w:uiPriority w:val="30"/>
    <w:qFormat w:val="1"/>
    <w:rsid w:val="0074249F"/>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CitadestacadaCar" w:customStyle="1">
    <w:name w:val="Cita destacada Car"/>
    <w:basedOn w:val="Fuentedeprrafopredeter"/>
    <w:link w:val="Citadestacada"/>
    <w:uiPriority w:val="30"/>
    <w:rsid w:val="0074249F"/>
    <w:rPr>
      <w:i w:val="1"/>
      <w:iCs w:val="1"/>
      <w:color w:val="2f5496" w:themeColor="accent1" w:themeShade="0000BF"/>
    </w:rPr>
  </w:style>
  <w:style w:type="character" w:styleId="Referenciaintensa">
    <w:name w:val="Intense Reference"/>
    <w:basedOn w:val="Fuentedeprrafopredeter"/>
    <w:uiPriority w:val="32"/>
    <w:qFormat w:val="1"/>
    <w:rsid w:val="0074249F"/>
    <w:rPr>
      <w:b w:val="1"/>
      <w:bCs w:val="1"/>
      <w:smallCaps w:val="1"/>
      <w:color w:val="2f5496" w:themeColor="accent1" w:themeShade="0000BF"/>
      <w:spacing w:val="5"/>
    </w:rPr>
  </w:style>
  <w:style w:type="paragraph" w:styleId="Encabezado">
    <w:name w:val="header"/>
    <w:basedOn w:val="Normal"/>
    <w:link w:val="EncabezadoCar"/>
    <w:uiPriority w:val="99"/>
    <w:unhideWhenUsed w:val="1"/>
    <w:rsid w:val="00644E11"/>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644E11"/>
  </w:style>
  <w:style w:type="paragraph" w:styleId="Piedepgina">
    <w:name w:val="footer"/>
    <w:basedOn w:val="Normal"/>
    <w:link w:val="PiedepginaCar"/>
    <w:uiPriority w:val="99"/>
    <w:unhideWhenUsed w:val="1"/>
    <w:rsid w:val="00644E11"/>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644E11"/>
  </w:style>
  <w:style w:type="table" w:styleId="Tablaconcuadrcula">
    <w:name w:val="Table Grid"/>
    <w:basedOn w:val="Tablanormal"/>
    <w:uiPriority w:val="39"/>
    <w:rsid w:val="00EF44D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Vf3BmC3h52ibinFRcwn4VCZ1UQ==">CgMxLjAaHwoBMBIaChgICVIUChJ0YWJsZS5ib3g1YTliaTEyM3QaHwoBMRIaChgICVIUChJ0YWJsZS5hb3R5c2hsbXZuazkaHwoBMhIaChgICVIUChJ0YWJsZS44M2JvYTN4ZWxlczU4AHIhMWdHeUVUNGNIMFZCRkR6RV9lNDNjWm1ZY0JPcHUxLV9a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2025-04-10T19:45:00Z</dcterms:created>
  <dc:creator>Dirección de Curriculo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0x01010076AC4B3079F3F14986B23BC4E8B1044F</vt:lpwstr>
  </property>
  <property fmtid="{D5CDD505-2E9C-101B-9397-08002B2CF9AE}" pid="3" name="MediaServiceImageTags">
    <vt:lpwstr/>
  </property>
</Properties>
</file>